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218" w:rsidRDefault="00C04218" w:rsidP="008A458D">
      <w:pPr>
        <w:jc w:val="center"/>
        <w:rPr>
          <w:b/>
          <w:sz w:val="24"/>
        </w:rPr>
      </w:pPr>
      <w:bookmarkStart w:id="0" w:name="_GoBack"/>
      <w:bookmarkEnd w:id="0"/>
      <w:r w:rsidRPr="00D8407F">
        <w:rPr>
          <w:b/>
          <w:sz w:val="24"/>
        </w:rPr>
        <w:t xml:space="preserve">SOAH </w:t>
      </w:r>
      <w:r w:rsidR="00E15960">
        <w:rPr>
          <w:b/>
          <w:sz w:val="24"/>
        </w:rPr>
        <w:t>DOCKET NO.</w:t>
      </w:r>
      <w:r w:rsidRPr="00D8407F">
        <w:rPr>
          <w:b/>
          <w:sz w:val="24"/>
        </w:rPr>
        <w:t xml:space="preserve"> </w:t>
      </w:r>
      <w:r w:rsidR="001972A4">
        <w:rPr>
          <w:b/>
          <w:sz w:val="24"/>
        </w:rPr>
        <w:t>473-</w:t>
      </w:r>
      <w:r w:rsidR="00BA121A">
        <w:rPr>
          <w:b/>
          <w:sz w:val="24"/>
        </w:rPr>
        <w:t>19-3864</w:t>
      </w:r>
    </w:p>
    <w:p w:rsidR="00324B9C" w:rsidRPr="00D8407F" w:rsidRDefault="00324B9C" w:rsidP="00324B9C">
      <w:pPr>
        <w:jc w:val="center"/>
        <w:rPr>
          <w:b/>
          <w:sz w:val="24"/>
        </w:rPr>
      </w:pPr>
      <w:r w:rsidRPr="00D8407F">
        <w:rPr>
          <w:b/>
          <w:sz w:val="24"/>
        </w:rPr>
        <w:t xml:space="preserve">PUC </w:t>
      </w:r>
      <w:r>
        <w:rPr>
          <w:b/>
          <w:sz w:val="24"/>
        </w:rPr>
        <w:t>DOCKET NO.</w:t>
      </w:r>
      <w:r w:rsidRPr="00D8407F">
        <w:rPr>
          <w:b/>
          <w:sz w:val="24"/>
        </w:rPr>
        <w:t xml:space="preserve"> </w:t>
      </w:r>
      <w:r w:rsidR="00702AFD">
        <w:rPr>
          <w:b/>
          <w:sz w:val="24"/>
        </w:rPr>
        <w:t>4</w:t>
      </w:r>
      <w:r w:rsidR="002516B8">
        <w:rPr>
          <w:b/>
          <w:sz w:val="24"/>
        </w:rPr>
        <w:t>9421</w:t>
      </w:r>
    </w:p>
    <w:p w:rsidR="00C36076" w:rsidRDefault="00C36076" w:rsidP="00D8407F">
      <w:pPr>
        <w:spacing w:line="480" w:lineRule="auto"/>
        <w:jc w:val="center"/>
        <w:rPr>
          <w:b/>
          <w:sz w:val="24"/>
        </w:rPr>
      </w:pPr>
    </w:p>
    <w:tbl>
      <w:tblPr>
        <w:tblW w:w="9919" w:type="dxa"/>
        <w:tblLayout w:type="fixed"/>
        <w:tblLook w:val="0000" w:firstRow="0" w:lastRow="0" w:firstColumn="0" w:lastColumn="0" w:noHBand="0" w:noVBand="0"/>
      </w:tblPr>
      <w:tblGrid>
        <w:gridCol w:w="4518"/>
        <w:gridCol w:w="288"/>
        <w:gridCol w:w="5113"/>
      </w:tblGrid>
      <w:tr w:rsidR="00C04218" w:rsidRPr="00D8407F">
        <w:tc>
          <w:tcPr>
            <w:tcW w:w="4518" w:type="dxa"/>
          </w:tcPr>
          <w:p w:rsidR="002516B8" w:rsidRPr="002516B8" w:rsidRDefault="002516B8" w:rsidP="002516B8">
            <w:pPr>
              <w:ind w:right="-198"/>
              <w:rPr>
                <w:b/>
                <w:sz w:val="24"/>
                <w:szCs w:val="24"/>
              </w:rPr>
            </w:pPr>
            <w:r w:rsidRPr="002516B8">
              <w:rPr>
                <w:b/>
                <w:sz w:val="24"/>
                <w:szCs w:val="24"/>
              </w:rPr>
              <w:t>APPLICATION OF CENTERPOINT ENERGY HOUSTON ELECTRIC LLC FOR AUTHORITY TO CHANGE RATES</w:t>
            </w:r>
          </w:p>
          <w:p w:rsidR="00C04218" w:rsidRPr="00506904" w:rsidRDefault="00C04218" w:rsidP="00506904">
            <w:pPr>
              <w:ind w:right="-198"/>
              <w:rPr>
                <w:b/>
                <w:sz w:val="24"/>
              </w:rPr>
            </w:pPr>
          </w:p>
        </w:tc>
        <w:tc>
          <w:tcPr>
            <w:tcW w:w="288" w:type="dxa"/>
          </w:tcPr>
          <w:p w:rsidR="00C04218" w:rsidRPr="00D8407F" w:rsidRDefault="00C04218">
            <w:pPr>
              <w:tabs>
                <w:tab w:val="left" w:pos="612"/>
              </w:tabs>
              <w:jc w:val="center"/>
              <w:rPr>
                <w:b/>
                <w:sz w:val="24"/>
              </w:rPr>
            </w:pPr>
            <w:r w:rsidRPr="00D8407F">
              <w:rPr>
                <w:b/>
                <w:sz w:val="24"/>
              </w:rPr>
              <w:t>§</w:t>
            </w:r>
          </w:p>
          <w:p w:rsidR="00C04218" w:rsidRPr="00D8407F" w:rsidRDefault="00C04218">
            <w:pPr>
              <w:tabs>
                <w:tab w:val="left" w:pos="612"/>
              </w:tabs>
              <w:jc w:val="center"/>
              <w:rPr>
                <w:b/>
                <w:sz w:val="24"/>
              </w:rPr>
            </w:pPr>
            <w:r w:rsidRPr="00D8407F">
              <w:rPr>
                <w:b/>
                <w:sz w:val="24"/>
              </w:rPr>
              <w:t>§</w:t>
            </w:r>
          </w:p>
          <w:p w:rsidR="00C04218" w:rsidRPr="00D8407F" w:rsidRDefault="00C04218">
            <w:pPr>
              <w:tabs>
                <w:tab w:val="left" w:pos="612"/>
              </w:tabs>
              <w:jc w:val="center"/>
              <w:rPr>
                <w:b/>
                <w:sz w:val="24"/>
              </w:rPr>
            </w:pPr>
            <w:r w:rsidRPr="00D8407F">
              <w:rPr>
                <w:b/>
                <w:sz w:val="24"/>
              </w:rPr>
              <w:t>§</w:t>
            </w:r>
          </w:p>
          <w:p w:rsidR="00C04218" w:rsidRPr="00D8407F" w:rsidRDefault="00C04218">
            <w:pPr>
              <w:jc w:val="center"/>
              <w:rPr>
                <w:b/>
                <w:sz w:val="24"/>
              </w:rPr>
            </w:pPr>
            <w:r w:rsidRPr="00D8407F">
              <w:rPr>
                <w:b/>
                <w:sz w:val="24"/>
              </w:rPr>
              <w:t>§</w:t>
            </w:r>
          </w:p>
          <w:p w:rsidR="00C04218" w:rsidRPr="00D8407F" w:rsidRDefault="00C04218">
            <w:pPr>
              <w:jc w:val="center"/>
              <w:rPr>
                <w:b/>
                <w:sz w:val="24"/>
              </w:rPr>
            </w:pPr>
            <w:r w:rsidRPr="00D8407F">
              <w:rPr>
                <w:b/>
                <w:sz w:val="24"/>
              </w:rPr>
              <w:t>§</w:t>
            </w:r>
          </w:p>
          <w:p w:rsidR="008774C2" w:rsidRPr="00D8407F" w:rsidRDefault="008774C2" w:rsidP="008774C2">
            <w:pPr>
              <w:jc w:val="center"/>
              <w:rPr>
                <w:b/>
                <w:sz w:val="24"/>
              </w:rPr>
            </w:pPr>
            <w:r w:rsidRPr="00D8407F">
              <w:rPr>
                <w:b/>
                <w:sz w:val="24"/>
              </w:rPr>
              <w:t>§</w:t>
            </w:r>
          </w:p>
          <w:p w:rsidR="00C04218" w:rsidRPr="00D8407F" w:rsidRDefault="00C04218">
            <w:pPr>
              <w:jc w:val="center"/>
              <w:rPr>
                <w:b/>
                <w:sz w:val="24"/>
              </w:rPr>
            </w:pPr>
          </w:p>
        </w:tc>
        <w:tc>
          <w:tcPr>
            <w:tcW w:w="5113" w:type="dxa"/>
          </w:tcPr>
          <w:p w:rsidR="00C04218" w:rsidRPr="00D8407F" w:rsidRDefault="00C04218">
            <w:pPr>
              <w:pStyle w:val="Heading6"/>
              <w:jc w:val="center"/>
              <w:rPr>
                <w:rFonts w:ascii="Times New Roman" w:hAnsi="Times New Roman"/>
              </w:rPr>
            </w:pPr>
            <w:bookmarkStart w:id="1" w:name="_Ref496004862"/>
            <w:r w:rsidRPr="00D8407F">
              <w:rPr>
                <w:rFonts w:ascii="Times New Roman" w:hAnsi="Times New Roman"/>
              </w:rPr>
              <w:t>BEFORE THE</w:t>
            </w:r>
            <w:bookmarkEnd w:id="1"/>
            <w:r w:rsidRPr="00D8407F">
              <w:rPr>
                <w:rFonts w:ascii="Times New Roman" w:hAnsi="Times New Roman"/>
              </w:rPr>
              <w:t xml:space="preserve"> STATE OFFICE</w:t>
            </w:r>
          </w:p>
          <w:p w:rsidR="00C04218" w:rsidRPr="00D8407F" w:rsidRDefault="00C04218">
            <w:pPr>
              <w:pStyle w:val="Heading6"/>
              <w:jc w:val="center"/>
              <w:rPr>
                <w:rFonts w:ascii="Times New Roman" w:hAnsi="Times New Roman"/>
              </w:rPr>
            </w:pPr>
          </w:p>
          <w:p w:rsidR="00C04218" w:rsidRPr="00D8407F" w:rsidRDefault="00C04218">
            <w:pPr>
              <w:pStyle w:val="Heading7"/>
              <w:jc w:val="center"/>
              <w:rPr>
                <w:rFonts w:ascii="Times New Roman" w:hAnsi="Times New Roman"/>
              </w:rPr>
            </w:pPr>
            <w:r w:rsidRPr="00D8407F">
              <w:rPr>
                <w:rFonts w:ascii="Times New Roman" w:hAnsi="Times New Roman"/>
              </w:rPr>
              <w:t xml:space="preserve">OF </w:t>
            </w:r>
          </w:p>
          <w:p w:rsidR="00C04218" w:rsidRPr="00D8407F" w:rsidRDefault="00C04218">
            <w:pPr>
              <w:pStyle w:val="Heading7"/>
              <w:jc w:val="center"/>
              <w:rPr>
                <w:rFonts w:ascii="Times New Roman" w:hAnsi="Times New Roman"/>
              </w:rPr>
            </w:pPr>
          </w:p>
          <w:p w:rsidR="00C04218" w:rsidRDefault="00C04218">
            <w:pPr>
              <w:pStyle w:val="Heading7"/>
              <w:jc w:val="center"/>
              <w:rPr>
                <w:rFonts w:ascii="Times New Roman" w:hAnsi="Times New Roman"/>
              </w:rPr>
            </w:pPr>
            <w:r w:rsidRPr="00D8407F">
              <w:rPr>
                <w:rFonts w:ascii="Times New Roman" w:hAnsi="Times New Roman"/>
              </w:rPr>
              <w:t>ADMINISTRATIVE HEARINGS</w:t>
            </w:r>
          </w:p>
          <w:p w:rsidR="000565DA" w:rsidRDefault="000565DA" w:rsidP="000565DA"/>
          <w:p w:rsidR="000565DA" w:rsidRDefault="000565DA" w:rsidP="000565DA"/>
          <w:p w:rsidR="003D6691" w:rsidRDefault="003D6691" w:rsidP="000565DA"/>
          <w:p w:rsidR="003D6691" w:rsidRPr="000565DA" w:rsidRDefault="003D6691" w:rsidP="000565DA"/>
        </w:tc>
      </w:tr>
    </w:tbl>
    <w:p w:rsidR="00C04218" w:rsidRDefault="00C04218">
      <w:pPr>
        <w:jc w:val="center"/>
        <w:rPr>
          <w:rFonts w:ascii="Arial" w:hAnsi="Arial"/>
          <w:b/>
        </w:rPr>
      </w:pPr>
      <w:r>
        <w:object w:dxaOrig="6263" w:dyaOrig="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4in" o:ole="" fillcolor="window">
            <v:imagedata r:id="rId8" o:title=""/>
          </v:shape>
          <o:OLEObject Type="Embed" ProgID="CorelPhotoPaint.Image.8" ShapeID="_x0000_i1025" DrawAspect="Content" ObjectID="_1621840402" r:id="rId9"/>
        </w:object>
      </w:r>
    </w:p>
    <w:p w:rsidR="002D3373" w:rsidRDefault="002D3373">
      <w:pPr>
        <w:pStyle w:val="Heading5"/>
        <w:spacing w:line="480" w:lineRule="auto"/>
        <w:rPr>
          <w:rFonts w:ascii="Times New Roman" w:hAnsi="Times New Roman"/>
          <w:szCs w:val="24"/>
        </w:rPr>
      </w:pPr>
    </w:p>
    <w:p w:rsidR="00C04218" w:rsidRPr="008A458D" w:rsidRDefault="00095E3C">
      <w:pPr>
        <w:pStyle w:val="Heading5"/>
        <w:spacing w:line="480" w:lineRule="auto"/>
        <w:rPr>
          <w:rFonts w:ascii="Times New Roman" w:hAnsi="Times New Roman"/>
          <w:szCs w:val="24"/>
        </w:rPr>
      </w:pPr>
      <w:r>
        <w:rPr>
          <w:rFonts w:ascii="Times New Roman" w:hAnsi="Times New Roman"/>
          <w:szCs w:val="24"/>
        </w:rPr>
        <w:t xml:space="preserve">REDACTED </w:t>
      </w:r>
      <w:r w:rsidR="00AB7710">
        <w:rPr>
          <w:rFonts w:ascii="Times New Roman" w:hAnsi="Times New Roman"/>
          <w:szCs w:val="24"/>
        </w:rPr>
        <w:t>DIRECT TESTIMONY</w:t>
      </w:r>
      <w:r w:rsidR="00923401">
        <w:rPr>
          <w:rFonts w:ascii="Times New Roman" w:hAnsi="Times New Roman"/>
          <w:szCs w:val="24"/>
        </w:rPr>
        <w:t xml:space="preserve"> </w:t>
      </w:r>
      <w:r w:rsidR="00C04218" w:rsidRPr="008A458D">
        <w:rPr>
          <w:rFonts w:ascii="Times New Roman" w:hAnsi="Times New Roman"/>
          <w:szCs w:val="24"/>
        </w:rPr>
        <w:t>OF</w:t>
      </w:r>
    </w:p>
    <w:p w:rsidR="00C04218" w:rsidRPr="008A458D" w:rsidRDefault="00D8407F">
      <w:pPr>
        <w:pStyle w:val="Heading5"/>
        <w:spacing w:line="480" w:lineRule="auto"/>
        <w:rPr>
          <w:rFonts w:ascii="Times New Roman" w:hAnsi="Times New Roman"/>
          <w:szCs w:val="24"/>
        </w:rPr>
      </w:pPr>
      <w:r w:rsidRPr="008A458D">
        <w:rPr>
          <w:rFonts w:ascii="Times New Roman" w:hAnsi="Times New Roman"/>
          <w:szCs w:val="24"/>
        </w:rPr>
        <w:t>BRIAN T. MURPHY</w:t>
      </w:r>
    </w:p>
    <w:p w:rsidR="00C04218" w:rsidRPr="008A458D" w:rsidRDefault="00D8407F">
      <w:pPr>
        <w:spacing w:line="480" w:lineRule="auto"/>
        <w:jc w:val="center"/>
        <w:rPr>
          <w:b/>
          <w:sz w:val="24"/>
          <w:szCs w:val="24"/>
        </w:rPr>
      </w:pPr>
      <w:r w:rsidRPr="008A458D">
        <w:rPr>
          <w:b/>
          <w:sz w:val="24"/>
          <w:szCs w:val="24"/>
        </w:rPr>
        <w:t>RATE REGULATION</w:t>
      </w:r>
      <w:r w:rsidR="000519A9" w:rsidRPr="008A458D">
        <w:rPr>
          <w:b/>
          <w:sz w:val="24"/>
          <w:szCs w:val="24"/>
        </w:rPr>
        <w:t xml:space="preserve"> </w:t>
      </w:r>
      <w:r w:rsidR="00C04218" w:rsidRPr="008A458D">
        <w:rPr>
          <w:b/>
          <w:sz w:val="24"/>
          <w:szCs w:val="24"/>
        </w:rPr>
        <w:t>DIVISION</w:t>
      </w:r>
    </w:p>
    <w:p w:rsidR="00C04218" w:rsidRPr="008A458D" w:rsidRDefault="00C04218">
      <w:pPr>
        <w:spacing w:line="480" w:lineRule="auto"/>
        <w:jc w:val="center"/>
        <w:rPr>
          <w:b/>
          <w:sz w:val="24"/>
          <w:szCs w:val="24"/>
        </w:rPr>
      </w:pPr>
      <w:r w:rsidRPr="008A458D">
        <w:rPr>
          <w:b/>
          <w:sz w:val="24"/>
          <w:szCs w:val="24"/>
        </w:rPr>
        <w:t>PUBLIC UTILITY COMMISSION OF TEXAS</w:t>
      </w:r>
    </w:p>
    <w:p w:rsidR="00C36076" w:rsidRDefault="00CB590A">
      <w:pPr>
        <w:spacing w:line="480" w:lineRule="auto"/>
        <w:jc w:val="center"/>
        <w:rPr>
          <w:b/>
          <w:sz w:val="24"/>
          <w:szCs w:val="24"/>
        </w:rPr>
        <w:sectPr w:rsidR="00C36076" w:rsidSect="00B25F84">
          <w:headerReference w:type="even" r:id="rId10"/>
          <w:headerReference w:type="default" r:id="rId11"/>
          <w:footerReference w:type="even" r:id="rId12"/>
          <w:footerReference w:type="default" r:id="rId13"/>
          <w:headerReference w:type="first" r:id="rId14"/>
          <w:footerReference w:type="first" r:id="rId15"/>
          <w:pgSz w:w="12240" w:h="15840" w:code="1"/>
          <w:pgMar w:top="1440" w:right="1800" w:bottom="994" w:left="1800" w:header="720" w:footer="720" w:gutter="0"/>
          <w:cols w:space="720"/>
          <w:docGrid w:linePitch="272"/>
        </w:sectPr>
      </w:pPr>
      <w:r>
        <w:rPr>
          <w:b/>
          <w:sz w:val="24"/>
          <w:szCs w:val="24"/>
        </w:rPr>
        <w:t>JUNE</w:t>
      </w:r>
      <w:r w:rsidR="001972A4">
        <w:rPr>
          <w:b/>
          <w:sz w:val="24"/>
          <w:szCs w:val="24"/>
        </w:rPr>
        <w:t xml:space="preserve"> </w:t>
      </w:r>
      <w:r w:rsidR="00845D16">
        <w:rPr>
          <w:b/>
          <w:sz w:val="24"/>
          <w:szCs w:val="24"/>
        </w:rPr>
        <w:t>12</w:t>
      </w:r>
      <w:r w:rsidR="00EE2B4C" w:rsidRPr="002F16FB">
        <w:rPr>
          <w:b/>
          <w:sz w:val="24"/>
          <w:szCs w:val="24"/>
        </w:rPr>
        <w:t>, 20</w:t>
      </w:r>
      <w:r>
        <w:rPr>
          <w:b/>
          <w:sz w:val="24"/>
          <w:szCs w:val="24"/>
        </w:rPr>
        <w:t>19</w:t>
      </w:r>
    </w:p>
    <w:p w:rsidR="006C0E6E" w:rsidRDefault="006C0E6E" w:rsidP="002D07F5">
      <w:pPr>
        <w:suppressLineNumbers/>
        <w:jc w:val="center"/>
        <w:rPr>
          <w:b/>
          <w:sz w:val="28"/>
          <w:szCs w:val="28"/>
        </w:rPr>
      </w:pPr>
    </w:p>
    <w:p w:rsidR="00336F9E" w:rsidRDefault="00336F9E" w:rsidP="002D07F5">
      <w:pPr>
        <w:suppressLineNumbers/>
        <w:jc w:val="center"/>
        <w:rPr>
          <w:b/>
          <w:sz w:val="28"/>
          <w:szCs w:val="28"/>
        </w:rPr>
      </w:pPr>
    </w:p>
    <w:p w:rsidR="006C0E6E" w:rsidRDefault="00C04218" w:rsidP="002D07F5">
      <w:pPr>
        <w:suppressLineNumbers/>
        <w:jc w:val="center"/>
        <w:rPr>
          <w:b/>
          <w:sz w:val="32"/>
          <w:szCs w:val="32"/>
        </w:rPr>
      </w:pPr>
      <w:r w:rsidRPr="00615D17">
        <w:rPr>
          <w:b/>
          <w:sz w:val="32"/>
          <w:szCs w:val="32"/>
        </w:rPr>
        <w:t>TABLE OF CONTENTS</w:t>
      </w:r>
    </w:p>
    <w:p w:rsidR="003D6691" w:rsidRDefault="003D6691" w:rsidP="002D07F5">
      <w:pPr>
        <w:suppressLineNumbers/>
        <w:jc w:val="center"/>
        <w:rPr>
          <w:b/>
          <w:sz w:val="32"/>
          <w:szCs w:val="32"/>
        </w:rPr>
      </w:pPr>
    </w:p>
    <w:p w:rsidR="00C04218" w:rsidRPr="00421F45" w:rsidRDefault="00C04218" w:rsidP="008B71C2">
      <w:pPr>
        <w:suppressLineNumbers/>
        <w:rPr>
          <w:b/>
          <w:sz w:val="24"/>
          <w:szCs w:val="24"/>
        </w:rPr>
      </w:pPr>
    </w:p>
    <w:p w:rsidR="00F4077B" w:rsidRPr="00F4077B" w:rsidRDefault="001A3441">
      <w:pPr>
        <w:pStyle w:val="TOC1"/>
        <w:rPr>
          <w:rFonts w:asciiTheme="minorHAnsi" w:eastAsiaTheme="minorEastAsia" w:hAnsiTheme="minorHAnsi" w:cstheme="minorBidi"/>
          <w:noProof/>
          <w:sz w:val="22"/>
          <w:szCs w:val="22"/>
        </w:rPr>
      </w:pPr>
      <w:r w:rsidRPr="00F4077B">
        <w:rPr>
          <w:sz w:val="22"/>
          <w:szCs w:val="22"/>
        </w:rPr>
        <w:fldChar w:fldCharType="begin"/>
      </w:r>
      <w:r w:rsidRPr="00F4077B">
        <w:rPr>
          <w:sz w:val="22"/>
          <w:szCs w:val="22"/>
        </w:rPr>
        <w:instrText xml:space="preserve"> TOC \o "1-3" \h \z \u </w:instrText>
      </w:r>
      <w:r w:rsidRPr="00F4077B">
        <w:rPr>
          <w:sz w:val="22"/>
          <w:szCs w:val="22"/>
        </w:rPr>
        <w:fldChar w:fldCharType="separate"/>
      </w:r>
      <w:hyperlink w:anchor="_Toc11215203" w:history="1">
        <w:r w:rsidR="00F4077B" w:rsidRPr="00F4077B">
          <w:rPr>
            <w:rStyle w:val="Hyperlink"/>
            <w:noProof/>
            <w:sz w:val="22"/>
            <w:szCs w:val="22"/>
          </w:rPr>
          <w:t>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PROFESSIONAL QUALIFICATIONS</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_Toc11215203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3</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04" w:history="1">
        <w:r w:rsidR="00F4077B" w:rsidRPr="00F4077B">
          <w:rPr>
            <w:rStyle w:val="Hyperlink"/>
            <w:noProof/>
            <w:sz w:val="22"/>
            <w:szCs w:val="22"/>
          </w:rPr>
          <w:t>II.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SCOPE OF TESTIMONY</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_Toc11215204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4</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05" w:history="1">
        <w:r w:rsidR="00F4077B" w:rsidRPr="00F4077B">
          <w:rPr>
            <w:rStyle w:val="Hyperlink"/>
            <w:noProof/>
            <w:sz w:val="22"/>
            <w:szCs w:val="22"/>
          </w:rPr>
          <w:t>III.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SUMMARY OF RECOMMENDATIONS</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_Toc11215205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7</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06" w:history="1">
        <w:r w:rsidR="00F4077B" w:rsidRPr="00F4077B">
          <w:rPr>
            <w:rStyle w:val="Hyperlink"/>
            <w:noProof/>
            <w:sz w:val="22"/>
            <w:szCs w:val="22"/>
          </w:rPr>
          <w:t>IV.</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OVERVIEW OF RATEMAKING FOR T&amp;D UTILITY</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_Toc11215206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8</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07" w:history="1">
        <w:r w:rsidR="00F4077B" w:rsidRPr="00F4077B">
          <w:rPr>
            <w:rStyle w:val="Hyperlink"/>
            <w:noProof/>
            <w:sz w:val="22"/>
            <w:szCs w:val="22"/>
          </w:rPr>
          <w:t>V.</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FUNCTIONALIZATION OF COSTS</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_Toc11215207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17</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08" w:history="1">
        <w:r w:rsidR="00F4077B" w:rsidRPr="00F4077B">
          <w:rPr>
            <w:rStyle w:val="Hyperlink"/>
            <w:noProof/>
            <w:sz w:val="22"/>
            <w:szCs w:val="22"/>
          </w:rPr>
          <w:t>VI.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WHOLESALE TRANSMISSION COST OF SERVICE</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_Toc11215208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39</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09" w:history="1">
        <w:r w:rsidR="00F4077B" w:rsidRPr="00F4077B">
          <w:rPr>
            <w:rStyle w:val="Hyperlink"/>
            <w:noProof/>
            <w:sz w:val="22"/>
            <w:szCs w:val="22"/>
          </w:rPr>
          <w:t>VII.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WHOLESALE TRANSMISSION RATES</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_Toc11215209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40</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0" w:history="1">
        <w:r w:rsidR="00F4077B" w:rsidRPr="00F4077B">
          <w:rPr>
            <w:rStyle w:val="Hyperlink"/>
            <w:noProof/>
            <w:sz w:val="22"/>
            <w:szCs w:val="22"/>
          </w:rPr>
          <w:t>VIII.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RETAIL CLASS COST ALLOCATION</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_Toc11215210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42</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1" w:history="1">
        <w:r w:rsidR="00F4077B" w:rsidRPr="00F4077B">
          <w:rPr>
            <w:rStyle w:val="Hyperlink"/>
            <w:noProof/>
            <w:sz w:val="22"/>
            <w:szCs w:val="22"/>
          </w:rPr>
          <w:t>IX.</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RETAIL CLASS PRESENT BASE REVENUES</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_Toc11215211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48</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2" w:history="1">
        <w:r w:rsidR="00F4077B" w:rsidRPr="00F4077B">
          <w:rPr>
            <w:rStyle w:val="Hyperlink"/>
            <w:noProof/>
            <w:sz w:val="22"/>
            <w:szCs w:val="22"/>
          </w:rPr>
          <w:t>X.</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OVERALL BASE REVENUE CHANGE</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_Toc11215212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51</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3" w:history="1">
        <w:r w:rsidR="00F4077B" w:rsidRPr="00F4077B">
          <w:rPr>
            <w:rStyle w:val="Hyperlink"/>
            <w:noProof/>
            <w:sz w:val="22"/>
            <w:szCs w:val="22"/>
          </w:rPr>
          <w:t>XI.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RETAIL CLASS REVENUE DISTRIBUTION</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_Toc11215213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52</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4" w:history="1">
        <w:r w:rsidR="00F4077B" w:rsidRPr="00F4077B">
          <w:rPr>
            <w:rStyle w:val="Hyperlink"/>
            <w:noProof/>
            <w:sz w:val="22"/>
            <w:szCs w:val="22"/>
          </w:rPr>
          <w:t>XII.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RETAIL CLASS RATE DESIGN</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_Toc11215214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56</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5" w:history="1">
        <w:r w:rsidR="00F4077B" w:rsidRPr="00F4077B">
          <w:rPr>
            <w:rStyle w:val="Hyperlink"/>
            <w:noProof/>
            <w:sz w:val="22"/>
            <w:szCs w:val="22"/>
          </w:rPr>
          <w:t>XIII.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RETAIL TARIFF PROVISIONS – LED LIGHTING</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_Toc11215215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56</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6" w:history="1">
        <w:r w:rsidR="00F4077B" w:rsidRPr="00F4077B">
          <w:rPr>
            <w:rStyle w:val="Hyperlink"/>
            <w:noProof/>
            <w:sz w:val="22"/>
            <w:szCs w:val="22"/>
          </w:rPr>
          <w:t>XIV.</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RATE RIDERS – FUNCTIONALIZATION OF RIDER UEDIT</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_Toc11215216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68</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7" w:history="1">
        <w:r w:rsidR="00F4077B" w:rsidRPr="00F4077B">
          <w:rPr>
            <w:rStyle w:val="Hyperlink"/>
            <w:noProof/>
            <w:sz w:val="22"/>
            <w:szCs w:val="22"/>
          </w:rPr>
          <w:t>XV.</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TRUE-UP OF INTERIM RATE RECOVERY</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_Toc11215217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71</w:t>
        </w:r>
        <w:r w:rsidR="00F4077B" w:rsidRPr="00F4077B">
          <w:rPr>
            <w:noProof/>
            <w:webHidden/>
            <w:sz w:val="22"/>
            <w:szCs w:val="22"/>
          </w:rPr>
          <w:fldChar w:fldCharType="end"/>
        </w:r>
      </w:hyperlink>
    </w:p>
    <w:p w:rsidR="00F4077B" w:rsidRPr="00F4077B" w:rsidRDefault="00AD1390">
      <w:pPr>
        <w:pStyle w:val="TOC1"/>
        <w:rPr>
          <w:rFonts w:asciiTheme="minorHAnsi" w:eastAsiaTheme="minorEastAsia" w:hAnsiTheme="minorHAnsi" w:cstheme="minorBidi"/>
          <w:noProof/>
          <w:sz w:val="22"/>
          <w:szCs w:val="22"/>
        </w:rPr>
      </w:pPr>
      <w:hyperlink w:anchor="_Toc11215218" w:history="1">
        <w:r w:rsidR="00F4077B" w:rsidRPr="00F4077B">
          <w:rPr>
            <w:rStyle w:val="Hyperlink"/>
            <w:noProof/>
            <w:sz w:val="22"/>
            <w:szCs w:val="22"/>
          </w:rPr>
          <w:t>XVI.</w:t>
        </w:r>
        <w:r w:rsidR="00F4077B" w:rsidRPr="00F4077B">
          <w:rPr>
            <w:rFonts w:asciiTheme="minorHAnsi" w:eastAsiaTheme="minorEastAsia" w:hAnsiTheme="minorHAnsi" w:cstheme="minorBidi"/>
            <w:noProof/>
            <w:sz w:val="22"/>
            <w:szCs w:val="22"/>
          </w:rPr>
          <w:tab/>
        </w:r>
        <w:r w:rsidR="00F4077B" w:rsidRPr="00F4077B">
          <w:rPr>
            <w:rStyle w:val="Hyperlink"/>
            <w:noProof/>
            <w:sz w:val="22"/>
            <w:szCs w:val="22"/>
          </w:rPr>
          <w:t>CONCLUSION</w:t>
        </w:r>
        <w:r w:rsidR="00F4077B" w:rsidRPr="00F4077B">
          <w:rPr>
            <w:noProof/>
            <w:webHidden/>
            <w:sz w:val="22"/>
            <w:szCs w:val="22"/>
          </w:rPr>
          <w:tab/>
        </w:r>
        <w:r w:rsidR="00F4077B" w:rsidRPr="00F4077B">
          <w:rPr>
            <w:noProof/>
            <w:webHidden/>
            <w:sz w:val="22"/>
            <w:szCs w:val="22"/>
          </w:rPr>
          <w:fldChar w:fldCharType="begin"/>
        </w:r>
        <w:r w:rsidR="00F4077B" w:rsidRPr="00F4077B">
          <w:rPr>
            <w:noProof/>
            <w:webHidden/>
            <w:sz w:val="22"/>
            <w:szCs w:val="22"/>
          </w:rPr>
          <w:instrText xml:space="preserve"> PAGEREF _Toc11215218 \h </w:instrText>
        </w:r>
        <w:r w:rsidR="00F4077B" w:rsidRPr="00F4077B">
          <w:rPr>
            <w:noProof/>
            <w:webHidden/>
            <w:sz w:val="22"/>
            <w:szCs w:val="22"/>
          </w:rPr>
        </w:r>
        <w:r w:rsidR="00F4077B" w:rsidRPr="00F4077B">
          <w:rPr>
            <w:noProof/>
            <w:webHidden/>
            <w:sz w:val="22"/>
            <w:szCs w:val="22"/>
          </w:rPr>
          <w:fldChar w:fldCharType="separate"/>
        </w:r>
        <w:r w:rsidR="00555797">
          <w:rPr>
            <w:noProof/>
            <w:webHidden/>
            <w:sz w:val="22"/>
            <w:szCs w:val="22"/>
          </w:rPr>
          <w:t>74</w:t>
        </w:r>
        <w:r w:rsidR="00F4077B" w:rsidRPr="00F4077B">
          <w:rPr>
            <w:noProof/>
            <w:webHidden/>
            <w:sz w:val="22"/>
            <w:szCs w:val="22"/>
          </w:rPr>
          <w:fldChar w:fldCharType="end"/>
        </w:r>
      </w:hyperlink>
    </w:p>
    <w:p w:rsidR="00F07555" w:rsidRDefault="001A3441" w:rsidP="00305888">
      <w:pPr>
        <w:suppressLineNumbers/>
        <w:spacing w:line="360" w:lineRule="auto"/>
      </w:pPr>
      <w:r w:rsidRPr="00F4077B">
        <w:rPr>
          <w:b/>
          <w:bCs/>
          <w:noProof/>
          <w:sz w:val="22"/>
          <w:szCs w:val="22"/>
        </w:rPr>
        <w:fldChar w:fldCharType="end"/>
      </w:r>
    </w:p>
    <w:p w:rsidR="003D6691" w:rsidRDefault="003D6691" w:rsidP="003F3DE2">
      <w:pPr>
        <w:pStyle w:val="BodyText"/>
        <w:suppressLineNumbers/>
        <w:spacing w:line="240" w:lineRule="auto"/>
        <w:jc w:val="center"/>
        <w:rPr>
          <w:sz w:val="28"/>
          <w:szCs w:val="28"/>
        </w:rPr>
      </w:pPr>
    </w:p>
    <w:p w:rsidR="00D45DF7" w:rsidRDefault="00C04218" w:rsidP="003F3DE2">
      <w:pPr>
        <w:pStyle w:val="BodyText"/>
        <w:suppressLineNumbers/>
        <w:spacing w:line="240" w:lineRule="auto"/>
        <w:jc w:val="center"/>
        <w:rPr>
          <w:sz w:val="28"/>
          <w:szCs w:val="28"/>
        </w:rPr>
      </w:pPr>
      <w:r w:rsidRPr="006C0E6E">
        <w:rPr>
          <w:sz w:val="28"/>
          <w:szCs w:val="28"/>
        </w:rPr>
        <w:t>ATTACHMENTS:</w:t>
      </w:r>
    </w:p>
    <w:p w:rsidR="00D45DF7" w:rsidRPr="003F3DE2" w:rsidRDefault="00D45DF7" w:rsidP="003F3DE2">
      <w:pPr>
        <w:pStyle w:val="BodyText"/>
        <w:suppressLineNumbers/>
        <w:spacing w:line="240" w:lineRule="auto"/>
        <w:jc w:val="center"/>
        <w:rPr>
          <w:sz w:val="20"/>
        </w:rPr>
      </w:pPr>
    </w:p>
    <w:p w:rsidR="00765E94" w:rsidRPr="007D09B1" w:rsidRDefault="00765E94" w:rsidP="00EF1F28">
      <w:pPr>
        <w:pStyle w:val="BodyText"/>
        <w:suppressLineNumbers/>
        <w:spacing w:line="360" w:lineRule="auto"/>
        <w:ind w:firstLine="720"/>
        <w:rPr>
          <w:b w:val="0"/>
        </w:rPr>
      </w:pPr>
      <w:r w:rsidRPr="007D09B1">
        <w:t xml:space="preserve">Attachment </w:t>
      </w:r>
      <w:r w:rsidR="007556A5" w:rsidRPr="007D09B1">
        <w:t>BTM</w:t>
      </w:r>
      <w:r w:rsidRPr="007D09B1">
        <w:t>-1</w:t>
      </w:r>
      <w:r w:rsidR="008C2AEB" w:rsidRPr="007D09B1">
        <w:tab/>
      </w:r>
      <w:r w:rsidR="008C2AEB" w:rsidRPr="007D09B1">
        <w:tab/>
      </w:r>
      <w:r w:rsidR="00B50E27" w:rsidRPr="007D09B1">
        <w:rPr>
          <w:b w:val="0"/>
        </w:rPr>
        <w:t>Regulatory R</w:t>
      </w:r>
      <w:r w:rsidR="00642F2D">
        <w:rPr>
          <w:b w:val="0"/>
        </w:rPr>
        <w:t>e</w:t>
      </w:r>
      <w:r w:rsidR="00B50E27" w:rsidRPr="007D09B1">
        <w:rPr>
          <w:b w:val="0"/>
        </w:rPr>
        <w:t>sumé of Brian T. Murphy</w:t>
      </w:r>
    </w:p>
    <w:p w:rsidR="00294632" w:rsidRDefault="005C0DAA" w:rsidP="00EF1F28">
      <w:pPr>
        <w:pStyle w:val="BodyText"/>
        <w:suppressLineNumbers/>
        <w:tabs>
          <w:tab w:val="left" w:pos="720"/>
          <w:tab w:val="left" w:pos="3600"/>
          <w:tab w:val="right" w:pos="8010"/>
        </w:tabs>
        <w:spacing w:line="360" w:lineRule="auto"/>
        <w:jc w:val="both"/>
        <w:rPr>
          <w:b w:val="0"/>
        </w:rPr>
      </w:pPr>
      <w:r>
        <w:tab/>
        <w:t>Attachment BTM-2</w:t>
      </w:r>
      <w:r>
        <w:tab/>
      </w:r>
      <w:r w:rsidR="00FB4A13" w:rsidRPr="00955C45">
        <w:rPr>
          <w:b w:val="0"/>
        </w:rPr>
        <w:t xml:space="preserve">Wholesale Transmission </w:t>
      </w:r>
      <w:r w:rsidR="005611AF">
        <w:rPr>
          <w:b w:val="0"/>
        </w:rPr>
        <w:t>Base Revenue Requirement</w:t>
      </w:r>
      <w:r w:rsidR="00FB4A13" w:rsidRPr="00375AE6">
        <w:rPr>
          <w:b w:val="0"/>
        </w:rPr>
        <w:t xml:space="preserve"> </w:t>
      </w:r>
    </w:p>
    <w:p w:rsidR="00375AE6" w:rsidRDefault="00375AE6" w:rsidP="00FB4A13">
      <w:pPr>
        <w:pStyle w:val="BodyText"/>
        <w:suppressLineNumbers/>
        <w:tabs>
          <w:tab w:val="left" w:pos="720"/>
          <w:tab w:val="left" w:pos="3600"/>
          <w:tab w:val="right" w:pos="8010"/>
        </w:tabs>
        <w:spacing w:line="360" w:lineRule="auto"/>
        <w:jc w:val="both"/>
        <w:rPr>
          <w:b w:val="0"/>
        </w:rPr>
      </w:pPr>
      <w:r>
        <w:rPr>
          <w:b w:val="0"/>
        </w:rPr>
        <w:tab/>
      </w:r>
      <w:r>
        <w:t>Attachment BTM-3</w:t>
      </w:r>
      <w:r>
        <w:tab/>
      </w:r>
      <w:r w:rsidR="00FB4A13">
        <w:rPr>
          <w:b w:val="0"/>
        </w:rPr>
        <w:t>Retail Delivery</w:t>
      </w:r>
      <w:r w:rsidR="00FB4A13" w:rsidRPr="00375AE6">
        <w:rPr>
          <w:b w:val="0"/>
        </w:rPr>
        <w:t xml:space="preserve"> </w:t>
      </w:r>
      <w:r w:rsidR="005611AF">
        <w:rPr>
          <w:b w:val="0"/>
        </w:rPr>
        <w:t>Base Revenue Requirement</w:t>
      </w:r>
    </w:p>
    <w:p w:rsidR="00B31A82" w:rsidRDefault="00B31A82" w:rsidP="00B31A82">
      <w:pPr>
        <w:pStyle w:val="BodyText"/>
        <w:suppressLineNumbers/>
        <w:tabs>
          <w:tab w:val="left" w:pos="720"/>
          <w:tab w:val="left" w:pos="3600"/>
          <w:tab w:val="right" w:pos="8010"/>
        </w:tabs>
        <w:spacing w:line="360" w:lineRule="auto"/>
        <w:ind w:left="3600" w:hanging="3600"/>
        <w:jc w:val="both"/>
        <w:rPr>
          <w:b w:val="0"/>
        </w:rPr>
      </w:pPr>
      <w:r>
        <w:tab/>
        <w:t>Attachment BTM-4</w:t>
      </w:r>
      <w:r>
        <w:tab/>
      </w:r>
      <w:r w:rsidRPr="00B31A82">
        <w:rPr>
          <w:b w:val="0"/>
        </w:rPr>
        <w:t xml:space="preserve">Class </w:t>
      </w:r>
      <w:r w:rsidR="005611AF">
        <w:rPr>
          <w:b w:val="0"/>
        </w:rPr>
        <w:t xml:space="preserve">Allocation of </w:t>
      </w:r>
      <w:r>
        <w:rPr>
          <w:b w:val="0"/>
        </w:rPr>
        <w:t>ERCOT Transmission Payments</w:t>
      </w:r>
    </w:p>
    <w:p w:rsidR="00252047" w:rsidRDefault="00B31A82" w:rsidP="00D6285A">
      <w:pPr>
        <w:pStyle w:val="BodyText"/>
        <w:suppressLineNumbers/>
        <w:tabs>
          <w:tab w:val="left" w:pos="720"/>
          <w:tab w:val="left" w:pos="3600"/>
          <w:tab w:val="right" w:pos="8010"/>
        </w:tabs>
        <w:spacing w:line="360" w:lineRule="auto"/>
        <w:ind w:left="3600" w:hanging="3600"/>
        <w:jc w:val="both"/>
        <w:rPr>
          <w:b w:val="0"/>
        </w:rPr>
      </w:pPr>
      <w:r>
        <w:tab/>
        <w:t>Attachment BTM-5</w:t>
      </w:r>
      <w:r w:rsidR="00955C45">
        <w:tab/>
      </w:r>
      <w:r w:rsidR="005611AF">
        <w:rPr>
          <w:b w:val="0"/>
        </w:rPr>
        <w:t>Retail Class Base Revenue Requirements</w:t>
      </w:r>
    </w:p>
    <w:p w:rsidR="00D6285A" w:rsidRDefault="001A492C" w:rsidP="00231BCB">
      <w:pPr>
        <w:pStyle w:val="BodyText"/>
        <w:suppressLineNumbers/>
        <w:tabs>
          <w:tab w:val="left" w:pos="720"/>
          <w:tab w:val="left" w:pos="3600"/>
          <w:tab w:val="right" w:pos="8010"/>
        </w:tabs>
        <w:spacing w:line="360" w:lineRule="auto"/>
        <w:ind w:left="3600" w:hanging="3600"/>
        <w:jc w:val="both"/>
        <w:rPr>
          <w:b w:val="0"/>
        </w:rPr>
      </w:pPr>
      <w:r>
        <w:tab/>
      </w:r>
      <w:r w:rsidR="00B31A82">
        <w:t>Attachment BTM-6</w:t>
      </w:r>
      <w:r w:rsidR="007D35DE">
        <w:tab/>
      </w:r>
      <w:r w:rsidR="005611AF" w:rsidRPr="005611AF">
        <w:rPr>
          <w:b w:val="0"/>
        </w:rPr>
        <w:t xml:space="preserve">Retail </w:t>
      </w:r>
      <w:r w:rsidR="00D6285A" w:rsidRPr="00D6285A">
        <w:rPr>
          <w:b w:val="0"/>
        </w:rPr>
        <w:t xml:space="preserve">Class </w:t>
      </w:r>
      <w:r w:rsidR="005611AF">
        <w:rPr>
          <w:b w:val="0"/>
        </w:rPr>
        <w:t>Distance from Cost of Service</w:t>
      </w:r>
    </w:p>
    <w:p w:rsidR="00D6285A" w:rsidRDefault="00D6285A" w:rsidP="00EF0EEB">
      <w:pPr>
        <w:pStyle w:val="BodyText"/>
        <w:suppressLineNumbers/>
        <w:tabs>
          <w:tab w:val="left" w:pos="720"/>
          <w:tab w:val="left" w:pos="3600"/>
          <w:tab w:val="right" w:pos="8010"/>
        </w:tabs>
        <w:spacing w:line="360" w:lineRule="auto"/>
        <w:ind w:left="3600" w:hanging="3600"/>
        <w:jc w:val="both"/>
        <w:rPr>
          <w:b w:val="0"/>
        </w:rPr>
      </w:pPr>
      <w:r>
        <w:tab/>
      </w:r>
      <w:r w:rsidR="00EF0EEB">
        <w:t>Attachment B</w:t>
      </w:r>
      <w:r w:rsidR="00B31A82">
        <w:t>TM-7</w:t>
      </w:r>
      <w:r w:rsidR="00EF0EEB">
        <w:tab/>
      </w:r>
      <w:r w:rsidR="005611AF" w:rsidRPr="005611AF">
        <w:rPr>
          <w:b w:val="0"/>
        </w:rPr>
        <w:t xml:space="preserve">Retail </w:t>
      </w:r>
      <w:r w:rsidR="00FF544F" w:rsidRPr="00FF544F">
        <w:rPr>
          <w:b w:val="0"/>
        </w:rPr>
        <w:t>Rate Summary</w:t>
      </w:r>
    </w:p>
    <w:p w:rsidR="00F07555" w:rsidRPr="001076CC" w:rsidRDefault="00FF544F" w:rsidP="001076CC">
      <w:pPr>
        <w:pStyle w:val="BodyText"/>
        <w:suppressLineNumbers/>
        <w:tabs>
          <w:tab w:val="left" w:pos="720"/>
          <w:tab w:val="left" w:pos="3600"/>
          <w:tab w:val="right" w:pos="8010"/>
        </w:tabs>
        <w:spacing w:line="360" w:lineRule="auto"/>
        <w:ind w:left="3600" w:hanging="3600"/>
        <w:jc w:val="both"/>
        <w:rPr>
          <w:b w:val="0"/>
        </w:rPr>
      </w:pPr>
      <w:r>
        <w:tab/>
      </w:r>
      <w:r w:rsidR="00235AC2">
        <w:tab/>
      </w:r>
    </w:p>
    <w:p w:rsidR="00F138E9" w:rsidRDefault="002333B5" w:rsidP="002D07F5">
      <w:pPr>
        <w:pStyle w:val="BodyText"/>
        <w:suppressLineNumbers/>
        <w:tabs>
          <w:tab w:val="left" w:pos="720"/>
          <w:tab w:val="left" w:pos="3600"/>
          <w:tab w:val="right" w:pos="8010"/>
        </w:tabs>
        <w:spacing w:line="360" w:lineRule="auto"/>
        <w:ind w:left="3600" w:hanging="3600"/>
        <w:jc w:val="both"/>
      </w:pPr>
      <w:r>
        <w:tab/>
      </w:r>
    </w:p>
    <w:p w:rsidR="00F138E9" w:rsidRDefault="00F138E9" w:rsidP="002D07F5">
      <w:pPr>
        <w:pStyle w:val="BodyText"/>
        <w:suppressLineNumbers/>
        <w:tabs>
          <w:tab w:val="left" w:pos="720"/>
          <w:tab w:val="left" w:pos="3600"/>
          <w:tab w:val="right" w:pos="8010"/>
        </w:tabs>
        <w:spacing w:line="360" w:lineRule="auto"/>
        <w:ind w:left="3600" w:hanging="3600"/>
        <w:jc w:val="both"/>
      </w:pPr>
    </w:p>
    <w:p w:rsidR="005C0DAA" w:rsidRPr="005C0DAA" w:rsidRDefault="005C0DAA" w:rsidP="002D07F5">
      <w:pPr>
        <w:suppressLineNumbers/>
      </w:pPr>
    </w:p>
    <w:p w:rsidR="005C0DAA" w:rsidRPr="005C0DAA" w:rsidRDefault="005C0DAA" w:rsidP="002D07F5">
      <w:pPr>
        <w:suppressLineNumbers/>
      </w:pPr>
    </w:p>
    <w:p w:rsidR="00231BCB" w:rsidRDefault="00231BCB" w:rsidP="00231BCB">
      <w:pPr>
        <w:suppressLineNumbers/>
      </w:pPr>
      <w:r>
        <w:br w:type="page"/>
      </w:r>
    </w:p>
    <w:p w:rsidR="002B3BB5" w:rsidRDefault="002B3BB5" w:rsidP="002B3BB5">
      <w:pPr>
        <w:suppressLineNumbers/>
      </w:pPr>
    </w:p>
    <w:p w:rsidR="00C04218" w:rsidRDefault="00C04218" w:rsidP="00982F38">
      <w:pPr>
        <w:pStyle w:val="Heading1"/>
        <w:numPr>
          <w:ilvl w:val="0"/>
          <w:numId w:val="1"/>
        </w:numPr>
        <w:spacing w:line="480" w:lineRule="auto"/>
        <w:jc w:val="both"/>
        <w:rPr>
          <w:sz w:val="24"/>
        </w:rPr>
      </w:pPr>
      <w:bookmarkStart w:id="2" w:name="_Ref495998790"/>
      <w:bookmarkStart w:id="3" w:name="_Toc15351341"/>
      <w:bookmarkStart w:id="4" w:name="_Toc11215203"/>
      <w:r>
        <w:rPr>
          <w:sz w:val="24"/>
        </w:rPr>
        <w:t>PROFESSIONAL QUALIFICATIONS</w:t>
      </w:r>
      <w:bookmarkEnd w:id="2"/>
      <w:bookmarkEnd w:id="3"/>
      <w:bookmarkEnd w:id="4"/>
    </w:p>
    <w:p w:rsidR="00F51548" w:rsidRDefault="00F51548" w:rsidP="00982F38">
      <w:pPr>
        <w:pStyle w:val="BodyText3"/>
        <w:spacing w:line="480" w:lineRule="auto"/>
      </w:pPr>
      <w:r>
        <w:t>Q.</w:t>
      </w:r>
      <w:r>
        <w:tab/>
        <w:t>Please state your name and business address.</w:t>
      </w:r>
    </w:p>
    <w:p w:rsidR="00F51548" w:rsidRDefault="00F51548" w:rsidP="00982F38">
      <w:pPr>
        <w:spacing w:line="480" w:lineRule="auto"/>
        <w:jc w:val="both"/>
        <w:rPr>
          <w:sz w:val="24"/>
        </w:rPr>
      </w:pPr>
      <w:r>
        <w:rPr>
          <w:sz w:val="24"/>
        </w:rPr>
        <w:t>A.</w:t>
      </w:r>
      <w:r>
        <w:rPr>
          <w:sz w:val="24"/>
        </w:rPr>
        <w:tab/>
      </w:r>
      <w:r w:rsidR="00510CCA" w:rsidRPr="00510CCA">
        <w:rPr>
          <w:sz w:val="24"/>
        </w:rPr>
        <w:t xml:space="preserve">Brian </w:t>
      </w:r>
      <w:r w:rsidR="00510CCA">
        <w:rPr>
          <w:sz w:val="24"/>
        </w:rPr>
        <w:t xml:space="preserve">T. </w:t>
      </w:r>
      <w:r w:rsidR="00510CCA" w:rsidRPr="00510CCA">
        <w:rPr>
          <w:sz w:val="24"/>
        </w:rPr>
        <w:t>Murphy</w:t>
      </w:r>
      <w:r>
        <w:rPr>
          <w:sz w:val="24"/>
        </w:rPr>
        <w:t xml:space="preserve">, </w:t>
      </w:r>
      <w:r w:rsidR="00B20B1D">
        <w:rPr>
          <w:sz w:val="24"/>
        </w:rPr>
        <w:t>1</w:t>
      </w:r>
      <w:r>
        <w:rPr>
          <w:sz w:val="24"/>
        </w:rPr>
        <w:t>701 N. Congress Avenue, Austin, TX  78711-3326.</w:t>
      </w:r>
    </w:p>
    <w:p w:rsidR="00F51548" w:rsidRDefault="00F51548" w:rsidP="00982F38">
      <w:pPr>
        <w:spacing w:line="480" w:lineRule="auto"/>
        <w:jc w:val="both"/>
      </w:pPr>
      <w:r>
        <w:rPr>
          <w:b/>
          <w:sz w:val="24"/>
        </w:rPr>
        <w:t>Q.</w:t>
      </w:r>
      <w:r>
        <w:rPr>
          <w:b/>
          <w:sz w:val="24"/>
        </w:rPr>
        <w:tab/>
        <w:t>By whom are you employed and in what capacity?</w:t>
      </w:r>
    </w:p>
    <w:p w:rsidR="00F51548" w:rsidRDefault="00F51548" w:rsidP="00982F38">
      <w:pPr>
        <w:pStyle w:val="Q"/>
        <w:keepNext w:val="0"/>
        <w:spacing w:before="0" w:line="480" w:lineRule="auto"/>
      </w:pPr>
      <w:r>
        <w:t>A.</w:t>
      </w:r>
      <w:r>
        <w:tab/>
      </w:r>
      <w:r w:rsidR="00510CCA" w:rsidRPr="00510CCA">
        <w:t xml:space="preserve">I am employed by the Public Utility Commission of Texas (“PUC” or “the Commission”) as a </w:t>
      </w:r>
      <w:r w:rsidR="00612018">
        <w:t xml:space="preserve">Senior </w:t>
      </w:r>
      <w:r w:rsidR="00510CCA" w:rsidRPr="00510CCA">
        <w:t>Rate Analyst in the Tariff and Rate Analysis Section of the Rate Regulation Division.</w:t>
      </w:r>
    </w:p>
    <w:p w:rsidR="009B1750" w:rsidRDefault="00F51548" w:rsidP="00982F38">
      <w:pPr>
        <w:spacing w:line="480" w:lineRule="auto"/>
        <w:ind w:left="720" w:hanging="720"/>
        <w:jc w:val="both"/>
        <w:rPr>
          <w:b/>
          <w:sz w:val="24"/>
        </w:rPr>
      </w:pPr>
      <w:r>
        <w:rPr>
          <w:b/>
          <w:sz w:val="24"/>
        </w:rPr>
        <w:t>Q.</w:t>
      </w:r>
      <w:r>
        <w:rPr>
          <w:b/>
          <w:sz w:val="24"/>
        </w:rPr>
        <w:tab/>
        <w:t xml:space="preserve">What are your principal responsibilities as a </w:t>
      </w:r>
      <w:r w:rsidR="005610D6">
        <w:rPr>
          <w:b/>
          <w:sz w:val="24"/>
        </w:rPr>
        <w:t xml:space="preserve">Senior </w:t>
      </w:r>
      <w:r>
        <w:rPr>
          <w:b/>
          <w:sz w:val="24"/>
        </w:rPr>
        <w:t>R</w:t>
      </w:r>
      <w:r w:rsidR="00286F4A">
        <w:rPr>
          <w:b/>
          <w:sz w:val="24"/>
        </w:rPr>
        <w:t>ate</w:t>
      </w:r>
      <w:r w:rsidR="00117625">
        <w:rPr>
          <w:b/>
          <w:sz w:val="24"/>
        </w:rPr>
        <w:t xml:space="preserve"> </w:t>
      </w:r>
      <w:r>
        <w:rPr>
          <w:b/>
          <w:sz w:val="24"/>
        </w:rPr>
        <w:t>Analyst for the Public Utility Commission of Texas?</w:t>
      </w:r>
    </w:p>
    <w:p w:rsidR="00F51548" w:rsidRDefault="00F51548" w:rsidP="00982F38">
      <w:pPr>
        <w:pStyle w:val="A"/>
        <w:spacing w:after="0" w:line="480" w:lineRule="auto"/>
      </w:pPr>
      <w:r>
        <w:t>A.</w:t>
      </w:r>
      <w:r>
        <w:tab/>
      </w:r>
      <w:r w:rsidR="00A71A48" w:rsidRPr="00510CCA">
        <w:t xml:space="preserve">My principal responsibility is </w:t>
      </w:r>
      <w:r w:rsidR="00A71A48">
        <w:t xml:space="preserve">to analyze </w:t>
      </w:r>
      <w:r w:rsidR="00A71A48" w:rsidRPr="00510CCA">
        <w:t xml:space="preserve">utility tariff filings, cost allocation, and rate design.  My responsibilities include preparing and presenting testimony as an expert witness on </w:t>
      </w:r>
      <w:r w:rsidR="00A71A48">
        <w:t>cost allocation</w:t>
      </w:r>
      <w:r w:rsidR="007502BA">
        <w:t>,</w:t>
      </w:r>
      <w:r w:rsidR="00A71A48">
        <w:t xml:space="preserve"> </w:t>
      </w:r>
      <w:r w:rsidR="00A71A48" w:rsidRPr="00510CCA">
        <w:t xml:space="preserve">rate </w:t>
      </w:r>
      <w:r w:rsidR="00A71A48">
        <w:t>design</w:t>
      </w:r>
      <w:r w:rsidR="007502BA">
        <w:t>, and tariff administration</w:t>
      </w:r>
      <w:r w:rsidR="00A71A48">
        <w:t xml:space="preserve"> </w:t>
      </w:r>
      <w:r w:rsidR="0041569C">
        <w:t xml:space="preserve">issues </w:t>
      </w:r>
      <w:r w:rsidR="00A71A48" w:rsidRPr="00510CCA">
        <w:t>in d</w:t>
      </w:r>
      <w:r w:rsidR="00A71A48">
        <w:t>ocketed proceedings before the C</w:t>
      </w:r>
      <w:r w:rsidR="00A71A48" w:rsidRPr="00510CCA">
        <w:t>ommission and the State Office of Administrative Hearings</w:t>
      </w:r>
      <w:r w:rsidR="00A71A48">
        <w:t xml:space="preserve"> (“SOAH”).</w:t>
      </w:r>
    </w:p>
    <w:p w:rsidR="00F51548" w:rsidRDefault="00F51548" w:rsidP="0041569C">
      <w:pPr>
        <w:pStyle w:val="Q"/>
        <w:spacing w:before="0" w:line="480" w:lineRule="auto"/>
        <w:rPr>
          <w:b/>
        </w:rPr>
      </w:pPr>
      <w:r>
        <w:rPr>
          <w:b/>
        </w:rPr>
        <w:t>Q.</w:t>
      </w:r>
      <w:r>
        <w:rPr>
          <w:b/>
        </w:rPr>
        <w:tab/>
        <w:t xml:space="preserve">Please state your educational background and </w:t>
      </w:r>
      <w:r w:rsidR="0041569C">
        <w:rPr>
          <w:b/>
        </w:rPr>
        <w:t xml:space="preserve">regulatory </w:t>
      </w:r>
      <w:r>
        <w:rPr>
          <w:b/>
        </w:rPr>
        <w:t>experience.</w:t>
      </w:r>
    </w:p>
    <w:p w:rsidR="00146D91" w:rsidRDefault="00F51548" w:rsidP="00982F38">
      <w:pPr>
        <w:pStyle w:val="A"/>
        <w:spacing w:after="0" w:line="480" w:lineRule="auto"/>
      </w:pPr>
      <w:r>
        <w:t>A.</w:t>
      </w:r>
      <w:r>
        <w:tab/>
        <w:t>I have provided a summary of my educati</w:t>
      </w:r>
      <w:r w:rsidR="00E07766">
        <w:t>onal background and regulatory</w:t>
      </w:r>
      <w:r w:rsidR="0041569C">
        <w:t xml:space="preserve"> experience</w:t>
      </w:r>
      <w:r w:rsidR="00FA74B6">
        <w:t>, including a listing of my previously filed written testimony in Commission proceedings,</w:t>
      </w:r>
      <w:r>
        <w:t xml:space="preserve"> in Attachment </w:t>
      </w:r>
      <w:r w:rsidR="00510CCA">
        <w:t>BTM</w:t>
      </w:r>
      <w:r w:rsidR="0041569C">
        <w:t>-1.</w:t>
      </w:r>
    </w:p>
    <w:p w:rsidR="00506904" w:rsidRDefault="00506904" w:rsidP="006B5B9C">
      <w:pPr>
        <w:pStyle w:val="BodyTextIndent2"/>
        <w:widowControl w:val="0"/>
        <w:suppressLineNumbers/>
        <w:jc w:val="both"/>
        <w:rPr>
          <w:b/>
        </w:rPr>
      </w:pPr>
    </w:p>
    <w:p w:rsidR="006B5B9C" w:rsidRDefault="006B5B9C" w:rsidP="006B5B9C">
      <w:pPr>
        <w:pStyle w:val="BodyTextIndent2"/>
        <w:widowControl w:val="0"/>
        <w:suppressLineNumbers/>
        <w:jc w:val="both"/>
        <w:rPr>
          <w:b/>
        </w:rPr>
      </w:pPr>
    </w:p>
    <w:p w:rsidR="006B5B9C" w:rsidRDefault="006B5B9C" w:rsidP="006B5B9C">
      <w:pPr>
        <w:pStyle w:val="BodyTextIndent2"/>
        <w:widowControl w:val="0"/>
        <w:suppressLineNumbers/>
        <w:jc w:val="both"/>
        <w:rPr>
          <w:b/>
        </w:rPr>
      </w:pPr>
    </w:p>
    <w:p w:rsidR="006B5B9C" w:rsidRDefault="006B5B9C" w:rsidP="00480827">
      <w:pPr>
        <w:pStyle w:val="BodyTextIndent2"/>
        <w:widowControl w:val="0"/>
        <w:suppressLineNumbers/>
        <w:ind w:left="0" w:firstLine="0"/>
        <w:jc w:val="both"/>
        <w:rPr>
          <w:b/>
        </w:rPr>
      </w:pPr>
    </w:p>
    <w:p w:rsidR="00C04218" w:rsidRPr="00861CF8" w:rsidRDefault="00C04218" w:rsidP="00982F38">
      <w:pPr>
        <w:pStyle w:val="Heading1"/>
        <w:numPr>
          <w:ilvl w:val="0"/>
          <w:numId w:val="1"/>
        </w:numPr>
        <w:spacing w:line="480" w:lineRule="auto"/>
        <w:jc w:val="both"/>
        <w:rPr>
          <w:sz w:val="24"/>
        </w:rPr>
      </w:pPr>
      <w:bookmarkStart w:id="5" w:name="_Ref495998820"/>
      <w:bookmarkStart w:id="6" w:name="_Toc15351342"/>
      <w:bookmarkStart w:id="7" w:name="_Toc11215204"/>
      <w:r w:rsidRPr="00861CF8">
        <w:rPr>
          <w:sz w:val="24"/>
        </w:rPr>
        <w:t>SCOPE OF TESTIMONY</w:t>
      </w:r>
      <w:bookmarkEnd w:id="5"/>
      <w:bookmarkEnd w:id="6"/>
      <w:bookmarkEnd w:id="7"/>
    </w:p>
    <w:p w:rsidR="00C04218" w:rsidRPr="00B91322" w:rsidRDefault="00F13CA6" w:rsidP="00506904">
      <w:pPr>
        <w:pStyle w:val="BodyTextIndent2"/>
        <w:widowControl w:val="0"/>
        <w:jc w:val="both"/>
        <w:rPr>
          <w:b/>
        </w:rPr>
      </w:pPr>
      <w:r>
        <w:rPr>
          <w:b/>
        </w:rPr>
        <w:t>Q.</w:t>
      </w:r>
      <w:r>
        <w:rPr>
          <w:b/>
        </w:rPr>
        <w:tab/>
      </w:r>
      <w:r w:rsidR="000868BF" w:rsidRPr="000868BF">
        <w:rPr>
          <w:b/>
        </w:rPr>
        <w:t xml:space="preserve">What is the </w:t>
      </w:r>
      <w:r w:rsidR="000868BF" w:rsidRPr="00B91322">
        <w:rPr>
          <w:b/>
        </w:rPr>
        <w:t xml:space="preserve">purpose of your testimony in this </w:t>
      </w:r>
      <w:r w:rsidR="00E83E78">
        <w:rPr>
          <w:b/>
        </w:rPr>
        <w:t>proceeding, Docket No. 4</w:t>
      </w:r>
      <w:r w:rsidR="00480827">
        <w:rPr>
          <w:b/>
        </w:rPr>
        <w:t>9421</w:t>
      </w:r>
      <w:r w:rsidR="00E83E78">
        <w:rPr>
          <w:b/>
        </w:rPr>
        <w:t>,</w:t>
      </w:r>
      <w:r w:rsidR="000C6BC4">
        <w:rPr>
          <w:b/>
          <w:i/>
        </w:rPr>
        <w:t xml:space="preserve"> </w:t>
      </w:r>
      <w:r w:rsidR="00480827">
        <w:rPr>
          <w:b/>
          <w:i/>
        </w:rPr>
        <w:t>Application of CenterPoint Energy Houston Electric LLC for Authority to Change Rates</w:t>
      </w:r>
      <w:r w:rsidR="00A41FC6">
        <w:rPr>
          <w:b/>
        </w:rPr>
        <w:t xml:space="preserve">? </w:t>
      </w:r>
    </w:p>
    <w:p w:rsidR="00A41FC6" w:rsidRDefault="00F13CA6" w:rsidP="00982F38">
      <w:pPr>
        <w:pStyle w:val="BodyTextIndent2"/>
        <w:jc w:val="both"/>
      </w:pPr>
      <w:r w:rsidRPr="00B91322">
        <w:t>A.</w:t>
      </w:r>
      <w:r w:rsidRPr="00B91322">
        <w:tab/>
      </w:r>
      <w:r w:rsidR="000C6BC4">
        <w:t xml:space="preserve">My testimony </w:t>
      </w:r>
      <w:r w:rsidR="00544C9C">
        <w:t>regarding</w:t>
      </w:r>
      <w:r w:rsidR="00E9377F">
        <w:t xml:space="preserve"> CenterPoint Energy Houston Electric’s </w:t>
      </w:r>
      <w:r w:rsidR="00D87CCB">
        <w:t xml:space="preserve">(CEHE’s) </w:t>
      </w:r>
      <w:r w:rsidR="00544C9C">
        <w:t xml:space="preserve">application </w:t>
      </w:r>
      <w:r w:rsidR="00F267C8">
        <w:t xml:space="preserve">will </w:t>
      </w:r>
      <w:r w:rsidR="00FC4377">
        <w:t xml:space="preserve">address cost allocation, </w:t>
      </w:r>
      <w:r w:rsidR="00C978E8">
        <w:t xml:space="preserve">revenue distribution, </w:t>
      </w:r>
      <w:r w:rsidR="00F267C8" w:rsidRPr="005F17E5">
        <w:t>rate design</w:t>
      </w:r>
      <w:r w:rsidR="00FC4377">
        <w:t xml:space="preserve">, and tariff </w:t>
      </w:r>
      <w:r w:rsidR="00544C9C" w:rsidRPr="005F17E5">
        <w:t xml:space="preserve">issues.  I will address part or all of the following issues </w:t>
      </w:r>
      <w:r w:rsidR="00580548" w:rsidRPr="005F17E5">
        <w:t xml:space="preserve">from the </w:t>
      </w:r>
      <w:r w:rsidR="00924E8C">
        <w:t>Preliminary Order</w:t>
      </w:r>
      <w:r w:rsidR="00252B6D">
        <w:t xml:space="preserve"> (as numbered therein)</w:t>
      </w:r>
      <w:r w:rsidR="00580548">
        <w:t>:</w:t>
      </w:r>
    </w:p>
    <w:p w:rsidR="00AF6A35" w:rsidRDefault="00B7531E" w:rsidP="00252B6D">
      <w:pPr>
        <w:pStyle w:val="BodyTextIndent2"/>
        <w:ind w:left="1440"/>
        <w:jc w:val="both"/>
      </w:pPr>
      <w:r>
        <w:t>6</w:t>
      </w:r>
      <w:r w:rsidR="00252B6D">
        <w:t>.</w:t>
      </w:r>
      <w:r w:rsidR="00252B6D">
        <w:tab/>
        <w:t xml:space="preserve">What is </w:t>
      </w:r>
      <w:r>
        <w:t>CenterPoint’s</w:t>
      </w:r>
      <w:r w:rsidR="00252B6D">
        <w:t xml:space="preserve"> transmission cost of service determined in accordance with PURA and Commission rules?</w:t>
      </w:r>
    </w:p>
    <w:p w:rsidR="00A53226" w:rsidRPr="00A53226" w:rsidRDefault="00A53226" w:rsidP="00252B6D">
      <w:pPr>
        <w:pStyle w:val="BodyTextIndent2"/>
        <w:ind w:left="1440"/>
        <w:jc w:val="both"/>
        <w:rPr>
          <w:b/>
        </w:rPr>
      </w:pPr>
      <w:r>
        <w:tab/>
      </w:r>
      <w:r w:rsidR="00354EC6">
        <w:rPr>
          <w:b/>
        </w:rPr>
        <w:t xml:space="preserve">Response:  </w:t>
      </w:r>
      <w:r w:rsidR="002238AA">
        <w:rPr>
          <w:b/>
          <w:i/>
        </w:rPr>
        <w:t>S</w:t>
      </w:r>
      <w:r w:rsidR="00354EC6" w:rsidRPr="00EE78D5">
        <w:rPr>
          <w:b/>
          <w:i/>
        </w:rPr>
        <w:t>ee</w:t>
      </w:r>
      <w:r w:rsidR="00354EC6">
        <w:rPr>
          <w:b/>
        </w:rPr>
        <w:t xml:space="preserve"> S</w:t>
      </w:r>
      <w:r w:rsidRPr="00A53226">
        <w:rPr>
          <w:b/>
        </w:rPr>
        <w:t xml:space="preserve">ection </w:t>
      </w:r>
      <w:r w:rsidR="002C7954">
        <w:rPr>
          <w:b/>
        </w:rPr>
        <w:t>VI</w:t>
      </w:r>
      <w:r w:rsidR="00354EC6">
        <w:rPr>
          <w:b/>
        </w:rPr>
        <w:t xml:space="preserve"> of my testimony</w:t>
      </w:r>
      <w:r w:rsidRPr="00A53226">
        <w:rPr>
          <w:b/>
        </w:rPr>
        <w:t>.</w:t>
      </w:r>
    </w:p>
    <w:p w:rsidR="00252B6D" w:rsidRDefault="00CB60BA" w:rsidP="00252B6D">
      <w:pPr>
        <w:pStyle w:val="BodyTextIndent2"/>
        <w:ind w:left="1440"/>
        <w:jc w:val="both"/>
      </w:pPr>
      <w:r>
        <w:t>37</w:t>
      </w:r>
      <w:r w:rsidR="00130542">
        <w:t>.</w:t>
      </w:r>
      <w:r w:rsidR="00130542">
        <w:tab/>
      </w:r>
      <w:r w:rsidR="00123979">
        <w:t>Have any revenues received for expenses attributable to transmission service to export power from or import power to ERCOT been properly reflected in CenterPoint’s requested rates</w:t>
      </w:r>
      <w:r w:rsidR="0035517A">
        <w:t>?</w:t>
      </w:r>
    </w:p>
    <w:p w:rsidR="00A53226" w:rsidRPr="00A53226" w:rsidRDefault="00A53226" w:rsidP="00252B6D">
      <w:pPr>
        <w:pStyle w:val="BodyTextIndent2"/>
        <w:ind w:left="1440"/>
        <w:jc w:val="both"/>
        <w:rPr>
          <w:b/>
        </w:rPr>
      </w:pPr>
      <w:r>
        <w:tab/>
      </w:r>
      <w:r w:rsidR="002C7954">
        <w:rPr>
          <w:b/>
        </w:rPr>
        <w:t>Response:  Y</w:t>
      </w:r>
      <w:r w:rsidRPr="00A53226">
        <w:rPr>
          <w:b/>
        </w:rPr>
        <w:t>es.</w:t>
      </w:r>
    </w:p>
    <w:p w:rsidR="0035517A" w:rsidRDefault="001B7DA3" w:rsidP="00252B6D">
      <w:pPr>
        <w:pStyle w:val="BodyTextIndent2"/>
        <w:ind w:left="1440"/>
        <w:jc w:val="both"/>
      </w:pPr>
      <w:r>
        <w:t>40</w:t>
      </w:r>
      <w:r w:rsidR="00315B63">
        <w:t>.</w:t>
      </w:r>
      <w:r w:rsidR="00315B63">
        <w:tab/>
        <w:t>What are the appropriate amounts, if any, for transmission expenses and revenues under Federal Energy Regulatory Commission (FERC)-approved tariffs to be recovered</w:t>
      </w:r>
      <w:r w:rsidR="004A6225">
        <w:t>?</w:t>
      </w:r>
    </w:p>
    <w:p w:rsidR="00A53226" w:rsidRPr="00A53226" w:rsidRDefault="00A53226" w:rsidP="00252B6D">
      <w:pPr>
        <w:pStyle w:val="BodyTextIndent2"/>
        <w:ind w:left="1440"/>
        <w:jc w:val="both"/>
        <w:rPr>
          <w:b/>
        </w:rPr>
      </w:pPr>
      <w:r>
        <w:lastRenderedPageBreak/>
        <w:tab/>
      </w:r>
      <w:r w:rsidR="002C7954">
        <w:rPr>
          <w:b/>
        </w:rPr>
        <w:t>Response:  T</w:t>
      </w:r>
      <w:r w:rsidRPr="00A53226">
        <w:rPr>
          <w:b/>
        </w:rPr>
        <w:t>he appropriate amounts are reflected in Staff’s cost study.</w:t>
      </w:r>
    </w:p>
    <w:p w:rsidR="003208E6" w:rsidRDefault="00791231" w:rsidP="00791231">
      <w:pPr>
        <w:pStyle w:val="BodyTextIndent2"/>
        <w:ind w:left="1440"/>
        <w:jc w:val="both"/>
      </w:pPr>
      <w:r>
        <w:t>43</w:t>
      </w:r>
      <w:r w:rsidR="005F0D42">
        <w:t>.</w:t>
      </w:r>
      <w:r w:rsidR="005F0D42">
        <w:tab/>
      </w:r>
      <w:r>
        <w:t>What are CenterPoint’s just and reasonable rates, calculated in accordance with PURA and Commission rules?  Do the rates comply with the requirements of PURA § 36.003?</w:t>
      </w:r>
    </w:p>
    <w:p w:rsidR="00A53226" w:rsidRPr="00A53226" w:rsidRDefault="00A53226" w:rsidP="00791231">
      <w:pPr>
        <w:pStyle w:val="BodyTextIndent2"/>
        <w:ind w:left="1440"/>
        <w:jc w:val="both"/>
        <w:rPr>
          <w:b/>
        </w:rPr>
      </w:pPr>
      <w:r>
        <w:tab/>
      </w:r>
      <w:r w:rsidRPr="00A53226">
        <w:rPr>
          <w:b/>
        </w:rPr>
        <w:t xml:space="preserve">Response:  </w:t>
      </w:r>
      <w:r w:rsidR="002238AA">
        <w:rPr>
          <w:b/>
          <w:i/>
        </w:rPr>
        <w:t>S</w:t>
      </w:r>
      <w:r w:rsidRPr="00354EC6">
        <w:rPr>
          <w:b/>
          <w:i/>
        </w:rPr>
        <w:t>ee</w:t>
      </w:r>
      <w:r w:rsidR="002C7954">
        <w:rPr>
          <w:b/>
        </w:rPr>
        <w:t xml:space="preserve"> Section XI</w:t>
      </w:r>
      <w:r w:rsidR="00D859A5">
        <w:rPr>
          <w:b/>
        </w:rPr>
        <w:t>I</w:t>
      </w:r>
      <w:r w:rsidR="002C7954">
        <w:rPr>
          <w:b/>
        </w:rPr>
        <w:t xml:space="preserve"> of my testimony</w:t>
      </w:r>
      <w:r w:rsidRPr="00A53226">
        <w:rPr>
          <w:b/>
        </w:rPr>
        <w:t>.</w:t>
      </w:r>
    </w:p>
    <w:p w:rsidR="00B6653A" w:rsidRDefault="00E231FE" w:rsidP="00B6653A">
      <w:pPr>
        <w:pStyle w:val="BodyTextIndent2"/>
        <w:ind w:left="1440"/>
        <w:jc w:val="both"/>
      </w:pPr>
      <w:r>
        <w:t>4</w:t>
      </w:r>
      <w:r w:rsidR="008D7201">
        <w:t>4</w:t>
      </w:r>
      <w:r>
        <w:t>.</w:t>
      </w:r>
      <w:r>
        <w:tab/>
      </w:r>
      <w:r w:rsidR="008D7201">
        <w:t>What are the appropriate rate classes for which rates should be determined?  Is CenterPoint proposing any new rate classes?  If so, why are these new rate classes needed?</w:t>
      </w:r>
    </w:p>
    <w:p w:rsidR="00354EC6" w:rsidRPr="00354EC6" w:rsidRDefault="00354EC6" w:rsidP="00B6653A">
      <w:pPr>
        <w:pStyle w:val="BodyTextIndent2"/>
        <w:ind w:left="1440"/>
        <w:jc w:val="both"/>
        <w:rPr>
          <w:b/>
        </w:rPr>
      </w:pPr>
      <w:r>
        <w:tab/>
      </w:r>
      <w:r w:rsidRPr="00354EC6">
        <w:rPr>
          <w:b/>
        </w:rPr>
        <w:t xml:space="preserve">Response: </w:t>
      </w:r>
      <w:r w:rsidRPr="00354EC6">
        <w:rPr>
          <w:b/>
          <w:i/>
        </w:rPr>
        <w:t xml:space="preserve"> </w:t>
      </w:r>
      <w:r w:rsidR="002238AA">
        <w:rPr>
          <w:b/>
          <w:i/>
        </w:rPr>
        <w:t>S</w:t>
      </w:r>
      <w:r w:rsidRPr="00354EC6">
        <w:rPr>
          <w:b/>
          <w:i/>
        </w:rPr>
        <w:t>ee</w:t>
      </w:r>
      <w:r>
        <w:rPr>
          <w:b/>
        </w:rPr>
        <w:t xml:space="preserve"> S</w:t>
      </w:r>
      <w:r w:rsidRPr="00A53226">
        <w:rPr>
          <w:b/>
        </w:rPr>
        <w:t xml:space="preserve">ection </w:t>
      </w:r>
      <w:r w:rsidR="00692A01">
        <w:rPr>
          <w:b/>
        </w:rPr>
        <w:t>VIII</w:t>
      </w:r>
      <w:r>
        <w:rPr>
          <w:b/>
        </w:rPr>
        <w:t xml:space="preserve"> of my testimony</w:t>
      </w:r>
      <w:r w:rsidR="00692A01">
        <w:rPr>
          <w:b/>
        </w:rPr>
        <w:t>.</w:t>
      </w:r>
    </w:p>
    <w:p w:rsidR="00BB3B53" w:rsidRDefault="00B6653A" w:rsidP="00252B6D">
      <w:pPr>
        <w:pStyle w:val="BodyTextIndent2"/>
        <w:ind w:left="1440"/>
        <w:jc w:val="both"/>
      </w:pPr>
      <w:r>
        <w:t>45</w:t>
      </w:r>
      <w:r w:rsidR="000A3D0E">
        <w:t>.</w:t>
      </w:r>
      <w:r w:rsidR="000A3D0E">
        <w:tab/>
      </w:r>
      <w:r>
        <w:t>What are the appropriate billing and usage data for CenterPoint’s test year?  What known and measurable changes, if any, should be used to adjust the test-year data?  What changes, if any, are necessary to reflect abnormal weather conditions or other aberrant conditions?</w:t>
      </w:r>
    </w:p>
    <w:p w:rsidR="00354EC6" w:rsidRPr="00354EC6" w:rsidRDefault="00354EC6" w:rsidP="00252B6D">
      <w:pPr>
        <w:pStyle w:val="BodyTextIndent2"/>
        <w:ind w:left="1440"/>
        <w:jc w:val="both"/>
        <w:rPr>
          <w:b/>
        </w:rPr>
      </w:pPr>
      <w:r w:rsidRPr="00354EC6">
        <w:rPr>
          <w:b/>
        </w:rPr>
        <w:tab/>
        <w:t xml:space="preserve">Response:  </w:t>
      </w:r>
      <w:r w:rsidR="002238AA">
        <w:rPr>
          <w:b/>
          <w:i/>
        </w:rPr>
        <w:t>S</w:t>
      </w:r>
      <w:r w:rsidRPr="00354EC6">
        <w:rPr>
          <w:b/>
          <w:i/>
        </w:rPr>
        <w:t>ee</w:t>
      </w:r>
      <w:r w:rsidRPr="00354EC6">
        <w:rPr>
          <w:b/>
        </w:rPr>
        <w:t xml:space="preserve"> </w:t>
      </w:r>
      <w:r>
        <w:rPr>
          <w:b/>
        </w:rPr>
        <w:t>S</w:t>
      </w:r>
      <w:r w:rsidRPr="00A53226">
        <w:rPr>
          <w:b/>
        </w:rPr>
        <w:t xml:space="preserve">ection </w:t>
      </w:r>
      <w:r w:rsidR="0003308E">
        <w:rPr>
          <w:b/>
        </w:rPr>
        <w:t>IX</w:t>
      </w:r>
      <w:r>
        <w:rPr>
          <w:b/>
        </w:rPr>
        <w:t xml:space="preserve"> of my testimony.</w:t>
      </w:r>
    </w:p>
    <w:p w:rsidR="005F31A2" w:rsidRDefault="00E42460" w:rsidP="00252B6D">
      <w:pPr>
        <w:pStyle w:val="BodyTextIndent2"/>
        <w:ind w:left="1440"/>
        <w:jc w:val="both"/>
      </w:pPr>
      <w:r>
        <w:t>46.</w:t>
      </w:r>
      <w:r>
        <w:tab/>
        <w:t>What are the appropriate allocations of CenterPoint’s revenue requirement to functions and rate classes</w:t>
      </w:r>
      <w:r w:rsidR="00F239FF">
        <w:t>?</w:t>
      </w:r>
    </w:p>
    <w:p w:rsidR="00E42460" w:rsidRDefault="00E42460" w:rsidP="00E42460">
      <w:pPr>
        <w:pStyle w:val="BodyTextIndent2"/>
        <w:ind w:left="2160"/>
        <w:jc w:val="both"/>
      </w:pPr>
      <w:r>
        <w:t>a.</w:t>
      </w:r>
      <w:r>
        <w:tab/>
        <w:t xml:space="preserve">Does CenterPoint have any customer-specific contracts for the provision of transmission or distribution service?  If so, identify each customer and state whether the contract has been presented to the Commission for approval, and if so, in what </w:t>
      </w:r>
      <w:r>
        <w:lastRenderedPageBreak/>
        <w:t>docket.  In addition, has CenterPoint appropriately allocated revenues and related costs associated with such contracts?  Do all allocation factors properly reflect the types of costs allocated?</w:t>
      </w:r>
    </w:p>
    <w:p w:rsidR="00E42460" w:rsidRDefault="00E42460" w:rsidP="00E42460">
      <w:pPr>
        <w:pStyle w:val="BodyTextIndent2"/>
        <w:ind w:left="2160"/>
        <w:jc w:val="both"/>
      </w:pPr>
      <w:r>
        <w:t>b.</w:t>
      </w:r>
      <w:r>
        <w:tab/>
      </w:r>
      <w:r w:rsidR="00E53323">
        <w:t>What are the appropriate allocations of CenterPoint’s transmission investments, expenses, and revenues, including transmission expenses and revenues under FERC-approved tariffs, among jurisdictions?</w:t>
      </w:r>
    </w:p>
    <w:p w:rsidR="00354EC6" w:rsidRDefault="00354EC6" w:rsidP="00E42460">
      <w:pPr>
        <w:pStyle w:val="BodyTextIndent2"/>
        <w:ind w:left="2160"/>
        <w:jc w:val="both"/>
      </w:pPr>
      <w:r w:rsidRPr="00354EC6">
        <w:rPr>
          <w:b/>
        </w:rPr>
        <w:t xml:space="preserve">Response:  </w:t>
      </w:r>
      <w:r w:rsidR="002238AA">
        <w:rPr>
          <w:b/>
          <w:i/>
        </w:rPr>
        <w:t>S</w:t>
      </w:r>
      <w:r w:rsidRPr="00354EC6">
        <w:rPr>
          <w:b/>
          <w:i/>
        </w:rPr>
        <w:t>ee</w:t>
      </w:r>
      <w:r w:rsidRPr="00354EC6">
        <w:rPr>
          <w:b/>
        </w:rPr>
        <w:t xml:space="preserve"> </w:t>
      </w:r>
      <w:r>
        <w:rPr>
          <w:b/>
        </w:rPr>
        <w:t>S</w:t>
      </w:r>
      <w:r w:rsidRPr="00A53226">
        <w:rPr>
          <w:b/>
        </w:rPr>
        <w:t>ection</w:t>
      </w:r>
      <w:r w:rsidR="0003308E">
        <w:rPr>
          <w:b/>
        </w:rPr>
        <w:t>s</w:t>
      </w:r>
      <w:r w:rsidRPr="00A53226">
        <w:rPr>
          <w:b/>
        </w:rPr>
        <w:t xml:space="preserve"> </w:t>
      </w:r>
      <w:r w:rsidR="0003308E">
        <w:rPr>
          <w:b/>
        </w:rPr>
        <w:t xml:space="preserve">V (function) and VIII (class) </w:t>
      </w:r>
      <w:r>
        <w:rPr>
          <w:b/>
        </w:rPr>
        <w:t>of my testimony.</w:t>
      </w:r>
    </w:p>
    <w:p w:rsidR="00E53323" w:rsidRDefault="00ED0591" w:rsidP="00DA271F">
      <w:pPr>
        <w:pStyle w:val="BodyTextIndent2"/>
        <w:ind w:left="1440"/>
        <w:jc w:val="both"/>
      </w:pPr>
      <w:r>
        <w:t>47.</w:t>
      </w:r>
      <w:r>
        <w:tab/>
      </w:r>
      <w:r w:rsidR="00DA271F">
        <w:t>What are the appropriate rates for exports of power from ERCOT, calculated in accordance with 16 TAC 25.192(e) and ERCOT protocols?</w:t>
      </w:r>
    </w:p>
    <w:p w:rsidR="00354EC6" w:rsidRDefault="00354EC6" w:rsidP="00354EC6">
      <w:pPr>
        <w:pStyle w:val="BodyTextIndent2"/>
        <w:ind w:left="1440" w:firstLine="0"/>
        <w:jc w:val="both"/>
      </w:pPr>
      <w:r w:rsidRPr="00354EC6">
        <w:rPr>
          <w:b/>
        </w:rPr>
        <w:t xml:space="preserve">Response:  </w:t>
      </w:r>
      <w:r w:rsidR="002238AA">
        <w:rPr>
          <w:b/>
          <w:i/>
        </w:rPr>
        <w:t>S</w:t>
      </w:r>
      <w:r w:rsidRPr="00354EC6">
        <w:rPr>
          <w:b/>
          <w:i/>
        </w:rPr>
        <w:t>ee</w:t>
      </w:r>
      <w:r w:rsidRPr="00354EC6">
        <w:rPr>
          <w:b/>
        </w:rPr>
        <w:t xml:space="preserve"> </w:t>
      </w:r>
      <w:r>
        <w:rPr>
          <w:b/>
        </w:rPr>
        <w:t>S</w:t>
      </w:r>
      <w:r w:rsidRPr="00A53226">
        <w:rPr>
          <w:b/>
        </w:rPr>
        <w:t xml:space="preserve">ection </w:t>
      </w:r>
      <w:r w:rsidR="0003308E">
        <w:rPr>
          <w:b/>
        </w:rPr>
        <w:t>VII</w:t>
      </w:r>
      <w:r>
        <w:rPr>
          <w:b/>
        </w:rPr>
        <w:t xml:space="preserve"> of my testimony.</w:t>
      </w:r>
    </w:p>
    <w:p w:rsidR="00D75E8D" w:rsidRDefault="00DA271F" w:rsidP="00D75E8D">
      <w:pPr>
        <w:pStyle w:val="BodyTextIndent2"/>
        <w:ind w:left="1440"/>
        <w:jc w:val="both"/>
      </w:pPr>
      <w:r>
        <w:t>48.</w:t>
      </w:r>
      <w:r>
        <w:tab/>
      </w:r>
      <w:r w:rsidR="00D75E8D">
        <w:t>Does CenterPoint provide wholesale transmission service at distribution voltage to any customers?  If so, has CenterPoint properly allocated costs to, and designed rates for, those customers as required under PURA § 35.004(c)?</w:t>
      </w:r>
    </w:p>
    <w:p w:rsidR="00A53226" w:rsidRPr="00A53226" w:rsidRDefault="00A53226" w:rsidP="00D75E8D">
      <w:pPr>
        <w:pStyle w:val="BodyTextIndent2"/>
        <w:ind w:left="1440"/>
        <w:jc w:val="both"/>
        <w:rPr>
          <w:b/>
        </w:rPr>
      </w:pPr>
      <w:r>
        <w:tab/>
      </w:r>
      <w:r w:rsidR="00B17AA3">
        <w:rPr>
          <w:b/>
        </w:rPr>
        <w:t>Response:  N</w:t>
      </w:r>
      <w:r w:rsidRPr="00A53226">
        <w:rPr>
          <w:b/>
        </w:rPr>
        <w:t>o.</w:t>
      </w:r>
    </w:p>
    <w:p w:rsidR="00D75E8D" w:rsidRDefault="00C516D9" w:rsidP="00D75E8D">
      <w:pPr>
        <w:pStyle w:val="BodyTextIndent2"/>
        <w:ind w:left="1440"/>
        <w:jc w:val="both"/>
      </w:pPr>
      <w:r>
        <w:t>49.</w:t>
      </w:r>
      <w:r>
        <w:tab/>
        <w:t>Are all rate classes at unity?  If not, what is the magnitude of the deviations, and what, if anything, should be done to address the lack of unity?</w:t>
      </w:r>
    </w:p>
    <w:p w:rsidR="00354EC6" w:rsidRDefault="00354EC6" w:rsidP="00D75E8D">
      <w:pPr>
        <w:pStyle w:val="BodyTextIndent2"/>
        <w:ind w:left="1440"/>
        <w:jc w:val="both"/>
      </w:pPr>
      <w:r>
        <w:tab/>
      </w:r>
      <w:r w:rsidRPr="00354EC6">
        <w:rPr>
          <w:b/>
        </w:rPr>
        <w:t xml:space="preserve">Response:  </w:t>
      </w:r>
      <w:r w:rsidR="002238AA">
        <w:rPr>
          <w:b/>
          <w:i/>
        </w:rPr>
        <w:t>S</w:t>
      </w:r>
      <w:r w:rsidRPr="00354EC6">
        <w:rPr>
          <w:b/>
          <w:i/>
        </w:rPr>
        <w:t>ee</w:t>
      </w:r>
      <w:r w:rsidRPr="00354EC6">
        <w:rPr>
          <w:b/>
        </w:rPr>
        <w:t xml:space="preserve"> </w:t>
      </w:r>
      <w:r>
        <w:rPr>
          <w:b/>
        </w:rPr>
        <w:t>S</w:t>
      </w:r>
      <w:r w:rsidRPr="00A53226">
        <w:rPr>
          <w:b/>
        </w:rPr>
        <w:t xml:space="preserve">ection </w:t>
      </w:r>
      <w:r w:rsidR="0075428B">
        <w:rPr>
          <w:b/>
        </w:rPr>
        <w:t>X</w:t>
      </w:r>
      <w:r w:rsidR="00D859A5">
        <w:rPr>
          <w:b/>
        </w:rPr>
        <w:t>I</w:t>
      </w:r>
      <w:r>
        <w:rPr>
          <w:b/>
        </w:rPr>
        <w:t xml:space="preserve"> of my testimony.</w:t>
      </w:r>
    </w:p>
    <w:p w:rsidR="00C516D9" w:rsidRDefault="00500F41" w:rsidP="00D75E8D">
      <w:pPr>
        <w:pStyle w:val="BodyTextIndent2"/>
        <w:ind w:left="1440"/>
        <w:jc w:val="both"/>
      </w:pPr>
      <w:r>
        <w:lastRenderedPageBreak/>
        <w:t>50.</w:t>
      </w:r>
      <w:r>
        <w:tab/>
      </w:r>
      <w:r w:rsidR="00160119">
        <w:t>What tariff revisions, if any, are appropriate as a result of this proceeding?</w:t>
      </w:r>
    </w:p>
    <w:p w:rsidR="00354EC6" w:rsidRDefault="00354EC6" w:rsidP="00D75E8D">
      <w:pPr>
        <w:pStyle w:val="BodyTextIndent2"/>
        <w:ind w:left="1440"/>
        <w:jc w:val="both"/>
      </w:pPr>
      <w:r>
        <w:tab/>
      </w:r>
      <w:r w:rsidRPr="00354EC6">
        <w:rPr>
          <w:b/>
        </w:rPr>
        <w:t xml:space="preserve">Response:  </w:t>
      </w:r>
      <w:r w:rsidR="002238AA">
        <w:rPr>
          <w:b/>
          <w:i/>
        </w:rPr>
        <w:t>S</w:t>
      </w:r>
      <w:r w:rsidRPr="00354EC6">
        <w:rPr>
          <w:b/>
          <w:i/>
        </w:rPr>
        <w:t>ee</w:t>
      </w:r>
      <w:r w:rsidRPr="00354EC6">
        <w:rPr>
          <w:b/>
        </w:rPr>
        <w:t xml:space="preserve"> </w:t>
      </w:r>
      <w:r>
        <w:rPr>
          <w:b/>
        </w:rPr>
        <w:t>S</w:t>
      </w:r>
      <w:r w:rsidRPr="00A53226">
        <w:rPr>
          <w:b/>
        </w:rPr>
        <w:t>ection</w:t>
      </w:r>
      <w:r w:rsidR="004979DC">
        <w:rPr>
          <w:b/>
        </w:rPr>
        <w:t>s</w:t>
      </w:r>
      <w:r w:rsidRPr="00A53226">
        <w:rPr>
          <w:b/>
        </w:rPr>
        <w:t xml:space="preserve"> </w:t>
      </w:r>
      <w:r w:rsidR="007231C8">
        <w:rPr>
          <w:b/>
        </w:rPr>
        <w:t>XII</w:t>
      </w:r>
      <w:r w:rsidR="00D859A5">
        <w:rPr>
          <w:b/>
        </w:rPr>
        <w:t>I</w:t>
      </w:r>
      <w:r w:rsidR="007231C8">
        <w:rPr>
          <w:b/>
        </w:rPr>
        <w:t xml:space="preserve"> </w:t>
      </w:r>
      <w:r>
        <w:rPr>
          <w:b/>
        </w:rPr>
        <w:t>of my testimony.</w:t>
      </w:r>
    </w:p>
    <w:p w:rsidR="00160119" w:rsidRDefault="00B81746" w:rsidP="00D75E8D">
      <w:pPr>
        <w:pStyle w:val="BodyTextIndent2"/>
        <w:ind w:left="1440"/>
        <w:jc w:val="both"/>
      </w:pPr>
      <w:r>
        <w:t>51.</w:t>
      </w:r>
      <w:r>
        <w:tab/>
      </w:r>
      <w:r w:rsidR="00AD59DE">
        <w:t>Has CenterPoint proposed any rate riders?  If so, should any of the proposed riders be adopted?  If so, what are the appropriate costs to be recovered through the riders, and what are the appropriate terms and conditions of the riders?</w:t>
      </w:r>
    </w:p>
    <w:p w:rsidR="00AD59DE" w:rsidRDefault="00AD59DE" w:rsidP="00AD59DE">
      <w:pPr>
        <w:pStyle w:val="BodyTextIndent2"/>
        <w:ind w:left="2160"/>
        <w:jc w:val="both"/>
      </w:pPr>
      <w:r>
        <w:t>a.</w:t>
      </w:r>
      <w:r>
        <w:tab/>
        <w:t>Should the Commission approve CenterPoint’s proposed rider to refund certain unprotected excess-deferred income tax (UEDIT) amounts, Rider UEDIT?</w:t>
      </w:r>
    </w:p>
    <w:p w:rsidR="00354EC6" w:rsidRDefault="00354EC6" w:rsidP="00AD59DE">
      <w:pPr>
        <w:pStyle w:val="BodyTextIndent2"/>
        <w:ind w:left="2160"/>
        <w:jc w:val="both"/>
      </w:pPr>
      <w:r w:rsidRPr="00354EC6">
        <w:rPr>
          <w:b/>
        </w:rPr>
        <w:t xml:space="preserve">Response:  </w:t>
      </w:r>
      <w:r w:rsidR="002238AA">
        <w:rPr>
          <w:b/>
          <w:i/>
        </w:rPr>
        <w:t>S</w:t>
      </w:r>
      <w:r w:rsidRPr="00354EC6">
        <w:rPr>
          <w:b/>
          <w:i/>
        </w:rPr>
        <w:t>ee</w:t>
      </w:r>
      <w:r w:rsidRPr="00354EC6">
        <w:rPr>
          <w:b/>
        </w:rPr>
        <w:t xml:space="preserve"> </w:t>
      </w:r>
      <w:r w:rsidRPr="001243CC">
        <w:rPr>
          <w:b/>
        </w:rPr>
        <w:t xml:space="preserve">Section </w:t>
      </w:r>
      <w:r w:rsidR="001243CC" w:rsidRPr="001243CC">
        <w:rPr>
          <w:b/>
        </w:rPr>
        <w:t>XI</w:t>
      </w:r>
      <w:r w:rsidR="00D859A5">
        <w:rPr>
          <w:b/>
        </w:rPr>
        <w:t>V</w:t>
      </w:r>
      <w:r w:rsidRPr="001243CC">
        <w:rPr>
          <w:b/>
        </w:rPr>
        <w:t xml:space="preserve"> of my testimony.</w:t>
      </w:r>
    </w:p>
    <w:p w:rsidR="00AD59DE" w:rsidRDefault="00AF0639" w:rsidP="00AF0639">
      <w:pPr>
        <w:pStyle w:val="BodyTextIndent2"/>
        <w:ind w:left="1440"/>
        <w:jc w:val="both"/>
      </w:pPr>
      <w:r>
        <w:t>52.</w:t>
      </w:r>
      <w:r>
        <w:tab/>
        <w:t>Does CenterPoint have any existing rate riders that should be modified or terminated?  What regulatory assets or other items are currently being recovered through rate riders?</w:t>
      </w:r>
    </w:p>
    <w:p w:rsidR="00354EC6" w:rsidRPr="00354EC6" w:rsidRDefault="00354EC6" w:rsidP="00FD5BB5">
      <w:pPr>
        <w:pStyle w:val="BodyTextIndent2"/>
        <w:ind w:left="1440"/>
        <w:jc w:val="both"/>
        <w:rPr>
          <w:b/>
        </w:rPr>
      </w:pPr>
      <w:r>
        <w:tab/>
      </w:r>
      <w:r w:rsidRPr="00354EC6">
        <w:rPr>
          <w:b/>
        </w:rPr>
        <w:t xml:space="preserve">Response:  </w:t>
      </w:r>
      <w:r w:rsidR="00FD5BB5">
        <w:rPr>
          <w:b/>
        </w:rPr>
        <w:t>The Company’s riders CTC and SBF are obsolete and will be removed from the Tariff.</w:t>
      </w:r>
      <w:r w:rsidR="00526B12">
        <w:rPr>
          <w:rStyle w:val="FootnoteReference"/>
          <w:b/>
        </w:rPr>
        <w:footnoteReference w:id="1"/>
      </w:r>
      <w:r w:rsidR="00FD5BB5">
        <w:rPr>
          <w:b/>
        </w:rPr>
        <w:t xml:space="preserve">  </w:t>
      </w:r>
      <w:r w:rsidRPr="00354EC6">
        <w:rPr>
          <w:b/>
        </w:rPr>
        <w:t xml:space="preserve">Staff witness Filarowicz </w:t>
      </w:r>
      <w:r w:rsidR="00EF15E6">
        <w:rPr>
          <w:b/>
        </w:rPr>
        <w:t>addresses</w:t>
      </w:r>
      <w:r w:rsidRPr="00354EC6">
        <w:rPr>
          <w:b/>
        </w:rPr>
        <w:t xml:space="preserve"> the second question.</w:t>
      </w:r>
    </w:p>
    <w:p w:rsidR="00F662AE" w:rsidRPr="00861CF8" w:rsidRDefault="00F662AE" w:rsidP="00F662AE">
      <w:pPr>
        <w:pStyle w:val="Heading1"/>
        <w:numPr>
          <w:ilvl w:val="0"/>
          <w:numId w:val="1"/>
        </w:numPr>
        <w:spacing w:line="480" w:lineRule="auto"/>
        <w:jc w:val="both"/>
        <w:rPr>
          <w:sz w:val="24"/>
        </w:rPr>
      </w:pPr>
      <w:bookmarkStart w:id="8" w:name="_Toc11215205"/>
      <w:r>
        <w:rPr>
          <w:sz w:val="24"/>
        </w:rPr>
        <w:t>SUMMARY OF RECOMMENDATIONS</w:t>
      </w:r>
      <w:bookmarkEnd w:id="8"/>
    </w:p>
    <w:p w:rsidR="000C6BC4" w:rsidRDefault="00F662AE" w:rsidP="00982F38">
      <w:pPr>
        <w:pStyle w:val="BodyTextIndent2"/>
        <w:jc w:val="both"/>
        <w:rPr>
          <w:b/>
        </w:rPr>
      </w:pPr>
      <w:r w:rsidRPr="00F662AE">
        <w:rPr>
          <w:b/>
        </w:rPr>
        <w:t>Q.</w:t>
      </w:r>
      <w:r w:rsidRPr="00F662AE">
        <w:rPr>
          <w:b/>
        </w:rPr>
        <w:tab/>
      </w:r>
      <w:r w:rsidR="009906AE">
        <w:rPr>
          <w:b/>
        </w:rPr>
        <w:t>Please summarize your recommendations.</w:t>
      </w:r>
    </w:p>
    <w:p w:rsidR="001863A8" w:rsidRDefault="00C359F6" w:rsidP="001863A8">
      <w:pPr>
        <w:pStyle w:val="BodyTextIndent2"/>
        <w:jc w:val="both"/>
      </w:pPr>
      <w:r>
        <w:lastRenderedPageBreak/>
        <w:t>A.</w:t>
      </w:r>
      <w:r>
        <w:tab/>
      </w:r>
      <w:r w:rsidR="00C66795">
        <w:t xml:space="preserve"> </w:t>
      </w:r>
      <w:r w:rsidR="001863A8">
        <w:t xml:space="preserve">With respect to the </w:t>
      </w:r>
      <w:r w:rsidR="001863A8" w:rsidRPr="002C11E7">
        <w:rPr>
          <w:i/>
        </w:rPr>
        <w:t>functionalization</w:t>
      </w:r>
      <w:r w:rsidR="001863A8">
        <w:t xml:space="preserve"> of costs, I recommend that</w:t>
      </w:r>
    </w:p>
    <w:p w:rsidR="001863A8" w:rsidRDefault="001863A8" w:rsidP="0050310F">
      <w:pPr>
        <w:pStyle w:val="BodyTextIndent2"/>
        <w:numPr>
          <w:ilvl w:val="0"/>
          <w:numId w:val="13"/>
        </w:numPr>
        <w:spacing w:line="240" w:lineRule="auto"/>
        <w:jc w:val="both"/>
      </w:pPr>
      <w:r>
        <w:t>Texas Gross Ma</w:t>
      </w:r>
      <w:r w:rsidR="00401AD9">
        <w:t>rgins Tax expenses included in A</w:t>
      </w:r>
      <w:r>
        <w:t>ccount 408.1 be functionalized in proportion to base revenues; and,</w:t>
      </w:r>
    </w:p>
    <w:p w:rsidR="001863A8" w:rsidRDefault="001863A8" w:rsidP="0050310F">
      <w:pPr>
        <w:pStyle w:val="BodyTextIndent2"/>
        <w:numPr>
          <w:ilvl w:val="0"/>
          <w:numId w:val="13"/>
        </w:numPr>
        <w:spacing w:line="240" w:lineRule="auto"/>
        <w:jc w:val="both"/>
      </w:pPr>
      <w:r>
        <w:t>Miscellaneou</w:t>
      </w:r>
      <w:r w:rsidR="00401AD9">
        <w:t>s general expenses included in A</w:t>
      </w:r>
      <w:r>
        <w:t xml:space="preserve">ccount 930.2 be functionalized </w:t>
      </w:r>
      <w:r w:rsidR="00BF2FDC">
        <w:t>following</w:t>
      </w:r>
      <w:r>
        <w:t xml:space="preserve"> the methodology presented in my testimony, which is more granular as compared with the Company’s proposed approach.</w:t>
      </w:r>
    </w:p>
    <w:p w:rsidR="0050310F" w:rsidRDefault="0050310F" w:rsidP="0050310F">
      <w:pPr>
        <w:pStyle w:val="BodyTextIndent2"/>
        <w:spacing w:line="240" w:lineRule="auto"/>
        <w:ind w:left="1440" w:firstLine="0"/>
        <w:jc w:val="both"/>
      </w:pPr>
    </w:p>
    <w:p w:rsidR="001863A8" w:rsidRDefault="001863A8" w:rsidP="001863A8">
      <w:pPr>
        <w:pStyle w:val="BodyTextIndent2"/>
        <w:ind w:firstLine="0"/>
        <w:jc w:val="both"/>
      </w:pPr>
      <w:r>
        <w:t xml:space="preserve">With respect to </w:t>
      </w:r>
      <w:r w:rsidRPr="001863A8">
        <w:rPr>
          <w:i/>
        </w:rPr>
        <w:t>wholesale transmission service</w:t>
      </w:r>
      <w:r>
        <w:t xml:space="preserve">, I recommend that </w:t>
      </w:r>
    </w:p>
    <w:p w:rsidR="001863A8" w:rsidRDefault="00D87CCB" w:rsidP="001D3D05">
      <w:pPr>
        <w:pStyle w:val="BodyTextIndent2"/>
        <w:numPr>
          <w:ilvl w:val="0"/>
          <w:numId w:val="14"/>
        </w:numPr>
        <w:spacing w:line="240" w:lineRule="auto"/>
        <w:jc w:val="both"/>
      </w:pPr>
      <w:r>
        <w:t>The Company</w:t>
      </w:r>
      <w:r w:rsidR="001863A8">
        <w:t xml:space="preserve">’s wholesale TCOS be set </w:t>
      </w:r>
      <w:r w:rsidR="001863A8" w:rsidRPr="001D3D05">
        <w:t>to $</w:t>
      </w:r>
      <w:r w:rsidR="001D3D05">
        <w:t>336,923,105</w:t>
      </w:r>
      <w:r w:rsidR="001863A8" w:rsidRPr="001D3D05">
        <w:t>;</w:t>
      </w:r>
      <w:r w:rsidR="001D3D05">
        <w:t xml:space="preserve"> and,</w:t>
      </w:r>
    </w:p>
    <w:p w:rsidR="001863A8" w:rsidRDefault="00D87CCB" w:rsidP="001D3D05">
      <w:pPr>
        <w:pStyle w:val="BodyTextIndent2"/>
        <w:numPr>
          <w:ilvl w:val="0"/>
          <w:numId w:val="14"/>
        </w:numPr>
        <w:spacing w:line="240" w:lineRule="auto"/>
        <w:jc w:val="both"/>
      </w:pPr>
      <w:r>
        <w:t>The Company</w:t>
      </w:r>
      <w:r w:rsidR="001863A8">
        <w:t xml:space="preserve">’s annual access fee be set to </w:t>
      </w:r>
      <w:r w:rsidR="002666FC">
        <w:t>$</w:t>
      </w:r>
      <w:r w:rsidR="001D3D05" w:rsidRPr="001D3D05">
        <w:t xml:space="preserve">4.8569719 </w:t>
      </w:r>
      <w:r w:rsidR="001863A8">
        <w:t xml:space="preserve">per </w:t>
      </w:r>
      <w:r w:rsidR="001D3D05">
        <w:t>kilowatt</w:t>
      </w:r>
      <w:r w:rsidR="001863A8">
        <w:t xml:space="preserve"> of ERCOT 4-CP</w:t>
      </w:r>
      <w:r w:rsidR="002666FC">
        <w:t xml:space="preserve"> demand</w:t>
      </w:r>
      <w:r w:rsidR="001D3D05">
        <w:t>.</w:t>
      </w:r>
    </w:p>
    <w:p w:rsidR="0050310F" w:rsidRDefault="0050310F" w:rsidP="0050310F">
      <w:pPr>
        <w:pStyle w:val="BodyTextIndent2"/>
        <w:spacing w:line="240" w:lineRule="auto"/>
        <w:ind w:left="1440" w:firstLine="0"/>
        <w:jc w:val="both"/>
      </w:pPr>
    </w:p>
    <w:p w:rsidR="001863A8" w:rsidRDefault="001863A8" w:rsidP="001863A8">
      <w:pPr>
        <w:pStyle w:val="BodyTextIndent2"/>
        <w:ind w:firstLine="0"/>
        <w:jc w:val="both"/>
      </w:pPr>
      <w:r>
        <w:t xml:space="preserve">With respect to </w:t>
      </w:r>
      <w:r w:rsidRPr="002C11E7">
        <w:rPr>
          <w:i/>
        </w:rPr>
        <w:t>retail delivery service</w:t>
      </w:r>
      <w:r>
        <w:t>, I recommend that</w:t>
      </w:r>
    </w:p>
    <w:p w:rsidR="001863A8" w:rsidRDefault="00D87CCB" w:rsidP="0025492F">
      <w:pPr>
        <w:pStyle w:val="BodyTextIndent2"/>
        <w:numPr>
          <w:ilvl w:val="0"/>
          <w:numId w:val="15"/>
        </w:numPr>
        <w:spacing w:line="240" w:lineRule="auto"/>
        <w:jc w:val="both"/>
      </w:pPr>
      <w:r>
        <w:t>The Company</w:t>
      </w:r>
      <w:r w:rsidR="001863A8">
        <w:t xml:space="preserve">’s ERCOT transmission payments </w:t>
      </w:r>
      <w:r w:rsidR="0025492F">
        <w:t xml:space="preserve">be set at </w:t>
      </w:r>
      <w:r w:rsidR="0025492F" w:rsidRPr="0025492F">
        <w:t xml:space="preserve">$927,700,584 </w:t>
      </w:r>
      <w:r w:rsidR="001863A8">
        <w:t xml:space="preserve">reflecting Staff’s downward adjustments to </w:t>
      </w:r>
      <w:r>
        <w:t>CEHE</w:t>
      </w:r>
      <w:r w:rsidR="001863A8">
        <w:t>’s requested wholesale TCOS;</w:t>
      </w:r>
    </w:p>
    <w:p w:rsidR="001863A8" w:rsidRDefault="001863A8" w:rsidP="0050310F">
      <w:pPr>
        <w:pStyle w:val="BodyTextIndent2"/>
        <w:numPr>
          <w:ilvl w:val="0"/>
          <w:numId w:val="15"/>
        </w:numPr>
        <w:spacing w:line="240" w:lineRule="auto"/>
        <w:jc w:val="both"/>
      </w:pPr>
      <w:r>
        <w:t xml:space="preserve">ERCOT transmission payments be allocated among classes in proportion to demand </w:t>
      </w:r>
      <w:r w:rsidR="00D816B0">
        <w:t xml:space="preserve">at source </w:t>
      </w:r>
      <w:r>
        <w:t>coincident with ERCOT 4CP demand;</w:t>
      </w:r>
    </w:p>
    <w:p w:rsidR="001863A8" w:rsidRDefault="001863A8" w:rsidP="0050310F">
      <w:pPr>
        <w:pStyle w:val="BodyTextIndent2"/>
        <w:numPr>
          <w:ilvl w:val="0"/>
          <w:numId w:val="15"/>
        </w:numPr>
        <w:spacing w:line="240" w:lineRule="auto"/>
        <w:jc w:val="both"/>
      </w:pPr>
      <w:r>
        <w:t>Class revenue requirements be set directly to class cost of serv</w:t>
      </w:r>
      <w:r w:rsidR="00BF2FDC">
        <w:t>ice as determined by Staff;</w:t>
      </w:r>
    </w:p>
    <w:p w:rsidR="00BF2FDC" w:rsidRDefault="00BF2FDC" w:rsidP="0050310F">
      <w:pPr>
        <w:pStyle w:val="BodyTextIndent2"/>
        <w:numPr>
          <w:ilvl w:val="0"/>
          <w:numId w:val="15"/>
        </w:numPr>
        <w:spacing w:line="240" w:lineRule="auto"/>
        <w:jc w:val="both"/>
      </w:pPr>
      <w:r>
        <w:t xml:space="preserve">For each class, rates be set to the levels shown in </w:t>
      </w:r>
      <w:r w:rsidRPr="00EA5BB8">
        <w:t xml:space="preserve">Attachment </w:t>
      </w:r>
      <w:r w:rsidR="00EA5BB8" w:rsidRPr="00EA5BB8">
        <w:t>BTM-7</w:t>
      </w:r>
      <w:r w:rsidRPr="00EA5BB8">
        <w:t>;</w:t>
      </w:r>
      <w:r>
        <w:t xml:space="preserve"> and,</w:t>
      </w:r>
    </w:p>
    <w:p w:rsidR="001863A8" w:rsidRDefault="00D87CCB" w:rsidP="0050310F">
      <w:pPr>
        <w:pStyle w:val="BodyTextIndent2"/>
        <w:numPr>
          <w:ilvl w:val="0"/>
          <w:numId w:val="15"/>
        </w:numPr>
        <w:spacing w:line="240" w:lineRule="auto"/>
        <w:jc w:val="both"/>
      </w:pPr>
      <w:r>
        <w:t>The Company</w:t>
      </w:r>
      <w:r w:rsidR="001863A8">
        <w:t>’s proposal to amend its lighting tariff to mandate LED lighting be rejected.</w:t>
      </w:r>
    </w:p>
    <w:p w:rsidR="0050310F" w:rsidRDefault="0050310F" w:rsidP="00A2440D">
      <w:pPr>
        <w:pStyle w:val="BodyTextIndent2"/>
        <w:suppressLineNumbers/>
        <w:spacing w:line="240" w:lineRule="auto"/>
        <w:ind w:left="1440" w:firstLine="0"/>
        <w:jc w:val="both"/>
      </w:pPr>
    </w:p>
    <w:p w:rsidR="001863A8" w:rsidRDefault="001863A8" w:rsidP="001863A8">
      <w:pPr>
        <w:pStyle w:val="BodyTextIndent2"/>
        <w:ind w:firstLine="0"/>
        <w:jc w:val="both"/>
      </w:pPr>
      <w:r>
        <w:t xml:space="preserve">With respect to </w:t>
      </w:r>
      <w:r w:rsidRPr="001863A8">
        <w:rPr>
          <w:i/>
        </w:rPr>
        <w:t>rate riders</w:t>
      </w:r>
      <w:r>
        <w:t>, I recommend that</w:t>
      </w:r>
    </w:p>
    <w:p w:rsidR="001863A8" w:rsidRDefault="001863A8" w:rsidP="0050310F">
      <w:pPr>
        <w:pStyle w:val="BodyTextIndent2"/>
        <w:numPr>
          <w:ilvl w:val="0"/>
          <w:numId w:val="16"/>
        </w:numPr>
        <w:spacing w:line="240" w:lineRule="auto"/>
        <w:jc w:val="both"/>
      </w:pPr>
      <w:r>
        <w:t>UEDIT be functionalized among wholesale transmission and retail delivery service in proportion to the UEDIT amounts included in the Company’s rates in Docket Nos. 48065 and 48226;</w:t>
      </w:r>
    </w:p>
    <w:p w:rsidR="001863A8" w:rsidRDefault="00C8262C" w:rsidP="0050310F">
      <w:pPr>
        <w:pStyle w:val="BodyTextIndent2"/>
        <w:numPr>
          <w:ilvl w:val="0"/>
          <w:numId w:val="16"/>
        </w:numPr>
        <w:spacing w:line="240" w:lineRule="auto"/>
        <w:jc w:val="both"/>
      </w:pPr>
      <w:r>
        <w:t>CEHE</w:t>
      </w:r>
      <w:r w:rsidR="001863A8">
        <w:t xml:space="preserve"> be ordered to present in its compliance tariff a wholesale rate rider designed to return wholesale’s assigned share of UEDIT to the Company’s wholesale customers</w:t>
      </w:r>
      <w:r w:rsidR="00D816B0">
        <w:t xml:space="preserve"> during a one-year period</w:t>
      </w:r>
      <w:r w:rsidR="001863A8">
        <w:t xml:space="preserve">, consistent with Staff’s </w:t>
      </w:r>
      <w:r w:rsidR="00FF7174">
        <w:t xml:space="preserve">recommended </w:t>
      </w:r>
      <w:r w:rsidR="001863A8">
        <w:t>functionalization of UEDIT; and,</w:t>
      </w:r>
    </w:p>
    <w:p w:rsidR="0049101F" w:rsidRDefault="001863A8" w:rsidP="0050310F">
      <w:pPr>
        <w:pStyle w:val="BodyTextIndent2"/>
        <w:numPr>
          <w:ilvl w:val="0"/>
          <w:numId w:val="16"/>
        </w:numPr>
        <w:spacing w:line="240" w:lineRule="auto"/>
        <w:jc w:val="both"/>
      </w:pPr>
      <w:r>
        <w:lastRenderedPageBreak/>
        <w:t xml:space="preserve">In the event plant disallowances are adopted by the Commission in this proceeding; and, in the event the disallowed plant was included in an interim TCOS or DCRF, the quantification of the </w:t>
      </w:r>
      <w:r w:rsidR="009554C7">
        <w:t xml:space="preserve">over-recovered </w:t>
      </w:r>
      <w:r>
        <w:t>amounts associated with th</w:t>
      </w:r>
      <w:r w:rsidR="009554C7">
        <w:t>at</w:t>
      </w:r>
      <w:r>
        <w:t xml:space="preserve"> plant to be refunded to ratepayers be severed into a separate proceeding.</w:t>
      </w:r>
    </w:p>
    <w:p w:rsidR="0050310F" w:rsidRDefault="0050310F" w:rsidP="0050310F">
      <w:pPr>
        <w:pStyle w:val="BodyTextIndent2"/>
        <w:spacing w:line="240" w:lineRule="auto"/>
        <w:ind w:left="1440" w:firstLine="0"/>
        <w:jc w:val="both"/>
      </w:pPr>
    </w:p>
    <w:p w:rsidR="007D67EE" w:rsidRPr="007D67EE" w:rsidRDefault="00420C87" w:rsidP="007D67EE">
      <w:pPr>
        <w:pStyle w:val="Heading1"/>
        <w:numPr>
          <w:ilvl w:val="0"/>
          <w:numId w:val="1"/>
        </w:numPr>
        <w:spacing w:line="480" w:lineRule="auto"/>
        <w:jc w:val="both"/>
        <w:rPr>
          <w:sz w:val="24"/>
          <w:szCs w:val="24"/>
        </w:rPr>
      </w:pPr>
      <w:bookmarkStart w:id="9" w:name="_Toc11215206"/>
      <w:r>
        <w:rPr>
          <w:sz w:val="24"/>
          <w:szCs w:val="24"/>
        </w:rPr>
        <w:t>OVERVIEW OF RATEMAKING FOR T&amp;D UTILITY</w:t>
      </w:r>
      <w:bookmarkEnd w:id="9"/>
    </w:p>
    <w:p w:rsidR="000E5940" w:rsidRPr="000E5940" w:rsidRDefault="000E5940" w:rsidP="000E5940">
      <w:pPr>
        <w:spacing w:line="480" w:lineRule="auto"/>
        <w:ind w:left="720" w:hanging="720"/>
        <w:jc w:val="both"/>
        <w:rPr>
          <w:b/>
          <w:sz w:val="24"/>
          <w:szCs w:val="24"/>
        </w:rPr>
      </w:pPr>
      <w:r w:rsidRPr="000E5940">
        <w:rPr>
          <w:b/>
          <w:sz w:val="24"/>
          <w:szCs w:val="24"/>
        </w:rPr>
        <w:t>Q.</w:t>
      </w:r>
      <w:r w:rsidRPr="000E5940">
        <w:rPr>
          <w:b/>
          <w:sz w:val="24"/>
          <w:szCs w:val="24"/>
        </w:rPr>
        <w:tab/>
        <w:t xml:space="preserve">Please provide a general description of a </w:t>
      </w:r>
      <w:r>
        <w:rPr>
          <w:b/>
          <w:sz w:val="24"/>
          <w:szCs w:val="24"/>
        </w:rPr>
        <w:t>t</w:t>
      </w:r>
      <w:r w:rsidR="00154F55">
        <w:rPr>
          <w:b/>
          <w:sz w:val="24"/>
          <w:szCs w:val="24"/>
        </w:rPr>
        <w:t xml:space="preserve">ransmission and distribution </w:t>
      </w:r>
      <w:r w:rsidRPr="000E5940">
        <w:rPr>
          <w:b/>
          <w:sz w:val="24"/>
          <w:szCs w:val="24"/>
        </w:rPr>
        <w:t xml:space="preserve">utility’s </w:t>
      </w:r>
      <w:r w:rsidR="00154F55">
        <w:rPr>
          <w:b/>
          <w:sz w:val="24"/>
          <w:szCs w:val="24"/>
        </w:rPr>
        <w:t xml:space="preserve">(TDU’s) </w:t>
      </w:r>
      <w:r w:rsidRPr="000E5940">
        <w:rPr>
          <w:b/>
          <w:sz w:val="24"/>
          <w:szCs w:val="24"/>
        </w:rPr>
        <w:t>filing for authority to change base rates.</w:t>
      </w:r>
    </w:p>
    <w:p w:rsidR="000E5940" w:rsidRPr="000E5940" w:rsidRDefault="000E5940" w:rsidP="000E5940">
      <w:pPr>
        <w:spacing w:line="480" w:lineRule="auto"/>
        <w:ind w:left="720" w:hanging="720"/>
        <w:jc w:val="both"/>
        <w:rPr>
          <w:sz w:val="24"/>
          <w:szCs w:val="24"/>
        </w:rPr>
      </w:pPr>
      <w:r w:rsidRPr="000E5940">
        <w:rPr>
          <w:sz w:val="24"/>
          <w:szCs w:val="24"/>
        </w:rPr>
        <w:t>A.</w:t>
      </w:r>
      <w:r w:rsidRPr="000E5940">
        <w:rPr>
          <w:sz w:val="24"/>
          <w:szCs w:val="24"/>
        </w:rPr>
        <w:tab/>
        <w:t>In a filing for authority to change base rates, a utility (</w:t>
      </w:r>
      <w:r w:rsidR="00C8262C">
        <w:rPr>
          <w:sz w:val="24"/>
          <w:szCs w:val="24"/>
        </w:rPr>
        <w:t>CEHE</w:t>
      </w:r>
      <w:r w:rsidRPr="000E5940">
        <w:rPr>
          <w:sz w:val="24"/>
          <w:szCs w:val="24"/>
        </w:rPr>
        <w:t xml:space="preserve"> in this proceeding) places its accounting and load information during a chosen test year from its books and records into the rate filing schedules contained in the Commission’s Transmission &amp; Distribution Investor-Owned Utilities Rate Filing Package for Cost of Service Determination (“Filing Package” or “RFP”).  Collectively, these schedules comprise the cost of service study.</w:t>
      </w:r>
    </w:p>
    <w:p w:rsidR="000E5940" w:rsidRPr="000E5940" w:rsidRDefault="000E5940" w:rsidP="000E5940">
      <w:pPr>
        <w:spacing w:line="480" w:lineRule="auto"/>
        <w:ind w:left="720" w:firstLine="720"/>
        <w:jc w:val="both"/>
        <w:rPr>
          <w:sz w:val="24"/>
          <w:szCs w:val="24"/>
        </w:rPr>
      </w:pPr>
      <w:r w:rsidRPr="000E5940">
        <w:rPr>
          <w:sz w:val="24"/>
          <w:szCs w:val="24"/>
        </w:rPr>
        <w:t>The two basic components of cost of service are allowable expenses and return on rate base.  Allowable expenses include the operating and maintenance expenses, depreciation and amortization expenses, federal income taxes, and other taxes net of other revenues.  Rate base includes invested capital used and useful in the provision of transmission and distribution services, including but not limited to transmission lines, switching stations, substa</w:t>
      </w:r>
      <w:r w:rsidRPr="000E5940">
        <w:rPr>
          <w:sz w:val="24"/>
          <w:szCs w:val="24"/>
        </w:rPr>
        <w:lastRenderedPageBreak/>
        <w:t xml:space="preserve">tions, feeder lines, poles, line transformers, service drops, and meters.  Return on rate base is calculated as a function of return on equity, cost of debt, and capital structure.  </w:t>
      </w:r>
    </w:p>
    <w:p w:rsidR="000E5940" w:rsidRPr="000E5940" w:rsidRDefault="000E5940" w:rsidP="000E5940">
      <w:pPr>
        <w:spacing w:line="480" w:lineRule="auto"/>
        <w:ind w:left="720" w:firstLine="720"/>
        <w:jc w:val="both"/>
        <w:rPr>
          <w:sz w:val="24"/>
          <w:szCs w:val="24"/>
        </w:rPr>
      </w:pPr>
      <w:r w:rsidRPr="000E5940">
        <w:rPr>
          <w:sz w:val="24"/>
          <w:szCs w:val="24"/>
        </w:rPr>
        <w:t>The Filing Package requires that expenses and rate base be broken out and stated as individual line items in accordance with the Federal Energy Regulatory Commission’s (FERC’s) Uniform System of Accounts.  The cost of service is initially stated on a total company basis,</w:t>
      </w:r>
      <w:r w:rsidR="00390CA5">
        <w:rPr>
          <w:rStyle w:val="FootnoteReference"/>
          <w:sz w:val="24"/>
          <w:szCs w:val="24"/>
        </w:rPr>
        <w:footnoteReference w:id="2"/>
      </w:r>
      <w:r w:rsidRPr="000E5940">
        <w:rPr>
          <w:sz w:val="24"/>
          <w:szCs w:val="24"/>
        </w:rPr>
        <w:t xml:space="preserve"> then disaggregated in later steps of the ratemaking process, as discussed below.  Witness Mark Filarowicz presents Staff’s calculation of </w:t>
      </w:r>
      <w:r w:rsidR="00C8262C">
        <w:rPr>
          <w:sz w:val="24"/>
          <w:szCs w:val="24"/>
        </w:rPr>
        <w:t>CEHE</w:t>
      </w:r>
      <w:r w:rsidRPr="000E5940">
        <w:rPr>
          <w:sz w:val="24"/>
          <w:szCs w:val="24"/>
        </w:rPr>
        <w:t xml:space="preserve">’s company </w:t>
      </w:r>
      <w:r w:rsidR="005719C2">
        <w:rPr>
          <w:sz w:val="24"/>
          <w:szCs w:val="24"/>
        </w:rPr>
        <w:t>total requested revenue requirement</w:t>
      </w:r>
      <w:r w:rsidRPr="000E5940">
        <w:rPr>
          <w:sz w:val="24"/>
          <w:szCs w:val="24"/>
        </w:rPr>
        <w:t>,</w:t>
      </w:r>
      <w:r w:rsidR="005719C2">
        <w:rPr>
          <w:rStyle w:val="FootnoteReference"/>
          <w:sz w:val="24"/>
          <w:szCs w:val="24"/>
        </w:rPr>
        <w:footnoteReference w:id="3"/>
      </w:r>
      <w:r w:rsidRPr="000E5940">
        <w:rPr>
          <w:sz w:val="24"/>
          <w:szCs w:val="24"/>
        </w:rPr>
        <w:t xml:space="preserve"> reflecting his adjustments and the adjustments of other Staff witnesses who address </w:t>
      </w:r>
      <w:r w:rsidR="0033441D">
        <w:rPr>
          <w:sz w:val="24"/>
          <w:szCs w:val="24"/>
        </w:rPr>
        <w:t>cost-of-service</w:t>
      </w:r>
      <w:r w:rsidRPr="000E5940">
        <w:rPr>
          <w:sz w:val="24"/>
          <w:szCs w:val="24"/>
        </w:rPr>
        <w:t xml:space="preserve"> issues.</w:t>
      </w:r>
    </w:p>
    <w:p w:rsidR="000E5940" w:rsidRPr="000E5940" w:rsidRDefault="000E5940" w:rsidP="000E5940">
      <w:pPr>
        <w:spacing w:line="480" w:lineRule="auto"/>
        <w:ind w:left="720" w:hanging="720"/>
        <w:jc w:val="both"/>
        <w:rPr>
          <w:b/>
          <w:sz w:val="24"/>
          <w:szCs w:val="24"/>
        </w:rPr>
      </w:pPr>
      <w:r w:rsidRPr="000E5940">
        <w:rPr>
          <w:b/>
          <w:sz w:val="24"/>
          <w:szCs w:val="24"/>
        </w:rPr>
        <w:t>Q.</w:t>
      </w:r>
      <w:r w:rsidRPr="000E5940">
        <w:rPr>
          <w:b/>
          <w:sz w:val="24"/>
          <w:szCs w:val="24"/>
        </w:rPr>
        <w:tab/>
        <w:t>What is the next step in the ratemaking process for a T&amp;D utility?</w:t>
      </w:r>
    </w:p>
    <w:p w:rsidR="000E5940" w:rsidRPr="000E5940" w:rsidRDefault="000E5940" w:rsidP="00A90006">
      <w:pPr>
        <w:spacing w:line="480" w:lineRule="auto"/>
        <w:ind w:left="720" w:hanging="720"/>
        <w:jc w:val="both"/>
        <w:rPr>
          <w:sz w:val="24"/>
          <w:szCs w:val="24"/>
        </w:rPr>
      </w:pPr>
      <w:r w:rsidRPr="000E5940">
        <w:rPr>
          <w:sz w:val="24"/>
          <w:szCs w:val="24"/>
        </w:rPr>
        <w:t>A.</w:t>
      </w:r>
      <w:r w:rsidRPr="000E5940">
        <w:rPr>
          <w:sz w:val="24"/>
          <w:szCs w:val="24"/>
        </w:rPr>
        <w:tab/>
        <w:t>The Fili</w:t>
      </w:r>
      <w:r w:rsidR="00A90006">
        <w:rPr>
          <w:sz w:val="24"/>
          <w:szCs w:val="24"/>
        </w:rPr>
        <w:t xml:space="preserve">ng Package requires that </w:t>
      </w:r>
      <w:r w:rsidR="00995542">
        <w:rPr>
          <w:sz w:val="24"/>
          <w:szCs w:val="24"/>
        </w:rPr>
        <w:t>costs</w:t>
      </w:r>
      <w:r w:rsidRPr="000E5940">
        <w:rPr>
          <w:sz w:val="24"/>
          <w:szCs w:val="24"/>
        </w:rPr>
        <w:t xml:space="preserve"> be separated into the following business functions:</w:t>
      </w:r>
    </w:p>
    <w:p w:rsidR="000E5940" w:rsidRPr="000E5940" w:rsidRDefault="000E5940" w:rsidP="002F738F">
      <w:pPr>
        <w:pStyle w:val="ListParagraph"/>
        <w:numPr>
          <w:ilvl w:val="0"/>
          <w:numId w:val="7"/>
        </w:numPr>
        <w:spacing w:after="0" w:line="240" w:lineRule="auto"/>
        <w:ind w:left="806" w:hanging="86"/>
        <w:rPr>
          <w:rFonts w:ascii="Times New Roman" w:hAnsi="Times New Roman"/>
          <w:sz w:val="24"/>
          <w:szCs w:val="24"/>
        </w:rPr>
      </w:pPr>
      <w:r w:rsidRPr="000E5940">
        <w:rPr>
          <w:rFonts w:ascii="Times New Roman" w:hAnsi="Times New Roman"/>
          <w:sz w:val="24"/>
          <w:szCs w:val="24"/>
        </w:rPr>
        <w:t xml:space="preserve">Transmission, </w:t>
      </w:r>
    </w:p>
    <w:p w:rsidR="000E5940" w:rsidRPr="000E5940" w:rsidRDefault="000E5940" w:rsidP="002F738F">
      <w:pPr>
        <w:pStyle w:val="ListParagraph"/>
        <w:numPr>
          <w:ilvl w:val="0"/>
          <w:numId w:val="7"/>
        </w:numPr>
        <w:spacing w:after="0" w:line="240" w:lineRule="auto"/>
        <w:ind w:left="806" w:hanging="86"/>
        <w:rPr>
          <w:rFonts w:ascii="Times New Roman" w:hAnsi="Times New Roman"/>
          <w:sz w:val="24"/>
          <w:szCs w:val="24"/>
        </w:rPr>
      </w:pPr>
      <w:r w:rsidRPr="000E5940">
        <w:rPr>
          <w:rFonts w:ascii="Times New Roman" w:hAnsi="Times New Roman"/>
          <w:sz w:val="24"/>
          <w:szCs w:val="24"/>
        </w:rPr>
        <w:t xml:space="preserve">Distribution, </w:t>
      </w:r>
    </w:p>
    <w:p w:rsidR="000E5940" w:rsidRPr="000E5940" w:rsidRDefault="000E5940" w:rsidP="002F738F">
      <w:pPr>
        <w:pStyle w:val="ListParagraph"/>
        <w:numPr>
          <w:ilvl w:val="0"/>
          <w:numId w:val="7"/>
        </w:numPr>
        <w:spacing w:after="0" w:line="240" w:lineRule="auto"/>
        <w:ind w:left="806" w:hanging="86"/>
        <w:rPr>
          <w:rFonts w:ascii="Times New Roman" w:hAnsi="Times New Roman"/>
          <w:sz w:val="24"/>
          <w:szCs w:val="24"/>
        </w:rPr>
      </w:pPr>
      <w:r w:rsidRPr="000E5940">
        <w:rPr>
          <w:rFonts w:ascii="Times New Roman" w:hAnsi="Times New Roman"/>
          <w:sz w:val="24"/>
          <w:szCs w:val="24"/>
        </w:rPr>
        <w:t xml:space="preserve">Metering, and </w:t>
      </w:r>
    </w:p>
    <w:p w:rsidR="000E5940" w:rsidRDefault="000E5940" w:rsidP="002F738F">
      <w:pPr>
        <w:pStyle w:val="ListParagraph"/>
        <w:numPr>
          <w:ilvl w:val="0"/>
          <w:numId w:val="7"/>
        </w:numPr>
        <w:spacing w:after="0" w:line="240" w:lineRule="auto"/>
        <w:ind w:left="806" w:hanging="86"/>
        <w:rPr>
          <w:rFonts w:ascii="Times New Roman" w:hAnsi="Times New Roman"/>
          <w:sz w:val="24"/>
          <w:szCs w:val="24"/>
        </w:rPr>
      </w:pPr>
      <w:r w:rsidRPr="000E5940">
        <w:rPr>
          <w:rFonts w:ascii="Times New Roman" w:hAnsi="Times New Roman"/>
          <w:sz w:val="24"/>
          <w:szCs w:val="24"/>
        </w:rPr>
        <w:t>Customer Service.</w:t>
      </w:r>
      <w:r w:rsidR="009720C3">
        <w:rPr>
          <w:rStyle w:val="FootnoteReference"/>
          <w:rFonts w:ascii="Times New Roman" w:hAnsi="Times New Roman"/>
          <w:sz w:val="24"/>
          <w:szCs w:val="24"/>
        </w:rPr>
        <w:footnoteReference w:id="4"/>
      </w:r>
      <w:r w:rsidR="009720C3" w:rsidRPr="004B6D96">
        <w:rPr>
          <w:rFonts w:ascii="Times New Roman" w:hAnsi="Times New Roman"/>
          <w:sz w:val="24"/>
          <w:szCs w:val="24"/>
        </w:rPr>
        <w:t xml:space="preserve"> </w:t>
      </w:r>
      <w:r w:rsidRPr="000E5940">
        <w:rPr>
          <w:rFonts w:ascii="Times New Roman" w:hAnsi="Times New Roman"/>
          <w:sz w:val="24"/>
          <w:szCs w:val="24"/>
        </w:rPr>
        <w:t xml:space="preserve">   </w:t>
      </w:r>
    </w:p>
    <w:p w:rsidR="00D816B0" w:rsidRDefault="00D816B0" w:rsidP="00F227F4">
      <w:pPr>
        <w:suppressLineNumbers/>
        <w:spacing w:line="480" w:lineRule="auto"/>
        <w:jc w:val="both"/>
        <w:rPr>
          <w:b/>
          <w:sz w:val="24"/>
          <w:szCs w:val="24"/>
        </w:rPr>
      </w:pPr>
    </w:p>
    <w:p w:rsidR="00D816B0" w:rsidRDefault="00D816B0" w:rsidP="00D816B0">
      <w:pPr>
        <w:suppressLineNumbers/>
        <w:spacing w:line="480" w:lineRule="auto"/>
        <w:ind w:left="720" w:hanging="720"/>
        <w:jc w:val="both"/>
        <w:rPr>
          <w:b/>
          <w:sz w:val="24"/>
          <w:szCs w:val="24"/>
        </w:rPr>
      </w:pPr>
    </w:p>
    <w:p w:rsidR="00D816B0" w:rsidRDefault="00D816B0" w:rsidP="00D816B0">
      <w:pPr>
        <w:suppressLineNumbers/>
        <w:spacing w:line="480" w:lineRule="auto"/>
        <w:ind w:left="720" w:hanging="720"/>
        <w:jc w:val="both"/>
        <w:rPr>
          <w:b/>
          <w:sz w:val="24"/>
          <w:szCs w:val="24"/>
        </w:rPr>
      </w:pPr>
    </w:p>
    <w:p w:rsidR="000E5940" w:rsidRPr="000E5940" w:rsidRDefault="000E5940" w:rsidP="00E133B4">
      <w:pPr>
        <w:spacing w:line="480" w:lineRule="auto"/>
        <w:ind w:left="720" w:hanging="720"/>
        <w:jc w:val="both"/>
        <w:rPr>
          <w:b/>
          <w:sz w:val="24"/>
          <w:szCs w:val="24"/>
        </w:rPr>
      </w:pPr>
      <w:r w:rsidRPr="000E5940">
        <w:rPr>
          <w:b/>
          <w:sz w:val="24"/>
          <w:szCs w:val="24"/>
        </w:rPr>
        <w:t>Q.</w:t>
      </w:r>
      <w:r w:rsidRPr="000E5940">
        <w:rPr>
          <w:b/>
          <w:sz w:val="24"/>
          <w:szCs w:val="24"/>
        </w:rPr>
        <w:tab/>
        <w:t xml:space="preserve">Why is it necessary to separate </w:t>
      </w:r>
      <w:r w:rsidR="00C8262C">
        <w:rPr>
          <w:b/>
          <w:sz w:val="24"/>
          <w:szCs w:val="24"/>
        </w:rPr>
        <w:t>CEHE</w:t>
      </w:r>
      <w:r w:rsidRPr="000E5940">
        <w:rPr>
          <w:b/>
          <w:sz w:val="24"/>
          <w:szCs w:val="24"/>
        </w:rPr>
        <w:t>’s costs into business functions?</w:t>
      </w:r>
    </w:p>
    <w:p w:rsidR="000E5940" w:rsidRPr="0042679F" w:rsidRDefault="000E5940" w:rsidP="0042679F">
      <w:pPr>
        <w:spacing w:line="480" w:lineRule="auto"/>
        <w:ind w:left="720" w:hanging="720"/>
        <w:jc w:val="both"/>
        <w:rPr>
          <w:sz w:val="24"/>
          <w:szCs w:val="24"/>
        </w:rPr>
      </w:pPr>
      <w:r w:rsidRPr="0042679F">
        <w:rPr>
          <w:sz w:val="24"/>
          <w:szCs w:val="24"/>
        </w:rPr>
        <w:t>A.</w:t>
      </w:r>
      <w:r w:rsidRPr="0042679F">
        <w:rPr>
          <w:sz w:val="24"/>
          <w:szCs w:val="24"/>
        </w:rPr>
        <w:tab/>
      </w:r>
      <w:r w:rsidR="00D87CCB">
        <w:rPr>
          <w:sz w:val="24"/>
          <w:szCs w:val="24"/>
        </w:rPr>
        <w:t>The Company</w:t>
      </w:r>
      <w:r w:rsidRPr="0042679F">
        <w:rPr>
          <w:sz w:val="24"/>
          <w:szCs w:val="24"/>
        </w:rPr>
        <w:t xml:space="preserve"> provides two </w:t>
      </w:r>
      <w:r w:rsidR="00E56BBC">
        <w:rPr>
          <w:sz w:val="24"/>
          <w:szCs w:val="24"/>
        </w:rPr>
        <w:t xml:space="preserve">basic </w:t>
      </w:r>
      <w:r w:rsidR="00E133B4">
        <w:rPr>
          <w:sz w:val="24"/>
          <w:szCs w:val="24"/>
        </w:rPr>
        <w:t>types</w:t>
      </w:r>
      <w:r w:rsidRPr="0042679F">
        <w:rPr>
          <w:sz w:val="24"/>
          <w:szCs w:val="24"/>
        </w:rPr>
        <w:t xml:space="preserve"> of service</w:t>
      </w:r>
      <w:r w:rsidR="00E133B4">
        <w:rPr>
          <w:sz w:val="24"/>
          <w:szCs w:val="24"/>
        </w:rPr>
        <w:t xml:space="preserve">: </w:t>
      </w:r>
      <w:r w:rsidRPr="0042679F">
        <w:rPr>
          <w:sz w:val="24"/>
          <w:szCs w:val="24"/>
        </w:rPr>
        <w:t xml:space="preserve">wholesale transmission service </w:t>
      </w:r>
      <w:r w:rsidR="00F227F4">
        <w:rPr>
          <w:sz w:val="24"/>
          <w:szCs w:val="24"/>
        </w:rPr>
        <w:t>(</w:t>
      </w:r>
      <w:r w:rsidRPr="0042679F">
        <w:rPr>
          <w:sz w:val="24"/>
          <w:szCs w:val="24"/>
        </w:rPr>
        <w:t>to other utilities</w:t>
      </w:r>
      <w:r w:rsidR="00F227F4">
        <w:rPr>
          <w:sz w:val="24"/>
          <w:szCs w:val="24"/>
        </w:rPr>
        <w:t>)</w:t>
      </w:r>
      <w:r w:rsidR="00E133B4">
        <w:rPr>
          <w:sz w:val="24"/>
          <w:szCs w:val="24"/>
        </w:rPr>
        <w:t>;</w:t>
      </w:r>
      <w:r w:rsidRPr="0042679F">
        <w:rPr>
          <w:sz w:val="24"/>
          <w:szCs w:val="24"/>
        </w:rPr>
        <w:t xml:space="preserve"> and</w:t>
      </w:r>
      <w:r w:rsidR="00E133B4">
        <w:rPr>
          <w:sz w:val="24"/>
          <w:szCs w:val="24"/>
        </w:rPr>
        <w:t xml:space="preserve">, </w:t>
      </w:r>
      <w:r w:rsidRPr="0042679F">
        <w:rPr>
          <w:sz w:val="24"/>
          <w:szCs w:val="24"/>
        </w:rPr>
        <w:t xml:space="preserve">retail delivery service </w:t>
      </w:r>
      <w:r w:rsidR="00F227F4">
        <w:rPr>
          <w:sz w:val="24"/>
          <w:szCs w:val="24"/>
        </w:rPr>
        <w:t>(</w:t>
      </w:r>
      <w:r w:rsidRPr="0042679F">
        <w:rPr>
          <w:sz w:val="24"/>
          <w:szCs w:val="24"/>
        </w:rPr>
        <w:t>to end-use retail cust</w:t>
      </w:r>
      <w:r w:rsidR="00E133B4">
        <w:rPr>
          <w:sz w:val="24"/>
          <w:szCs w:val="24"/>
        </w:rPr>
        <w:t>omers</w:t>
      </w:r>
      <w:r w:rsidR="00F227F4">
        <w:rPr>
          <w:sz w:val="24"/>
          <w:szCs w:val="24"/>
        </w:rPr>
        <w:t>)</w:t>
      </w:r>
      <w:r w:rsidR="00E133B4">
        <w:rPr>
          <w:sz w:val="24"/>
          <w:szCs w:val="24"/>
        </w:rPr>
        <w:t>.</w:t>
      </w:r>
      <w:r w:rsidR="00903B28">
        <w:rPr>
          <w:rStyle w:val="FootnoteReference"/>
          <w:sz w:val="24"/>
          <w:szCs w:val="24"/>
        </w:rPr>
        <w:footnoteReference w:id="5"/>
      </w:r>
      <w:r w:rsidRPr="0042679F">
        <w:rPr>
          <w:sz w:val="24"/>
          <w:szCs w:val="24"/>
        </w:rPr>
        <w:t xml:space="preserve"> </w:t>
      </w:r>
    </w:p>
    <w:p w:rsidR="000E5940" w:rsidRDefault="000E5940" w:rsidP="0042679F">
      <w:pPr>
        <w:spacing w:line="480" w:lineRule="auto"/>
        <w:ind w:left="720" w:firstLine="720"/>
        <w:jc w:val="both"/>
        <w:rPr>
          <w:sz w:val="24"/>
          <w:szCs w:val="24"/>
        </w:rPr>
      </w:pPr>
      <w:r w:rsidRPr="0042679F">
        <w:rPr>
          <w:sz w:val="24"/>
          <w:szCs w:val="24"/>
        </w:rPr>
        <w:t>The separation of costs into business functions</w:t>
      </w:r>
      <w:r w:rsidR="00A2440D">
        <w:rPr>
          <w:sz w:val="24"/>
          <w:szCs w:val="24"/>
        </w:rPr>
        <w:t xml:space="preserve">, </w:t>
      </w:r>
      <w:r w:rsidRPr="0042679F">
        <w:rPr>
          <w:sz w:val="24"/>
          <w:szCs w:val="24"/>
        </w:rPr>
        <w:t>called “functionaliza</w:t>
      </w:r>
      <w:r w:rsidR="00903B28">
        <w:rPr>
          <w:sz w:val="24"/>
          <w:szCs w:val="24"/>
        </w:rPr>
        <w:t>tion</w:t>
      </w:r>
      <w:r w:rsidR="00A2440D">
        <w:rPr>
          <w:sz w:val="24"/>
          <w:szCs w:val="24"/>
        </w:rPr>
        <w:t>,</w:t>
      </w:r>
      <w:r w:rsidRPr="0042679F">
        <w:rPr>
          <w:sz w:val="24"/>
          <w:szCs w:val="24"/>
        </w:rPr>
        <w:t xml:space="preserve">” is critical to the identification of the costs to be assigned to each </w:t>
      </w:r>
      <w:r w:rsidR="00E56BBC">
        <w:rPr>
          <w:sz w:val="24"/>
          <w:szCs w:val="24"/>
        </w:rPr>
        <w:t xml:space="preserve">basic </w:t>
      </w:r>
      <w:r w:rsidR="00075564">
        <w:rPr>
          <w:sz w:val="24"/>
          <w:szCs w:val="24"/>
        </w:rPr>
        <w:t>type of service.</w:t>
      </w:r>
      <w:r w:rsidR="001A3FBC">
        <w:rPr>
          <w:sz w:val="24"/>
          <w:szCs w:val="24"/>
        </w:rPr>
        <w:t xml:space="preserve">  Costs </w:t>
      </w:r>
      <w:r w:rsidR="00903B28">
        <w:rPr>
          <w:sz w:val="24"/>
          <w:szCs w:val="24"/>
        </w:rPr>
        <w:t xml:space="preserve">incurred </w:t>
      </w:r>
      <w:r w:rsidR="001A3FBC">
        <w:rPr>
          <w:sz w:val="24"/>
          <w:szCs w:val="24"/>
        </w:rPr>
        <w:t>to provide wholesale transmission service will be included in wholesale transmission cost of service (TCOS).</w:t>
      </w:r>
      <w:r w:rsidR="009C5067">
        <w:rPr>
          <w:rStyle w:val="FootnoteReference"/>
          <w:sz w:val="24"/>
          <w:szCs w:val="24"/>
        </w:rPr>
        <w:footnoteReference w:id="6"/>
      </w:r>
      <w:r w:rsidR="001A3FBC">
        <w:rPr>
          <w:sz w:val="24"/>
          <w:szCs w:val="24"/>
        </w:rPr>
        <w:t xml:space="preserve">  Costs to provide retail service will be included in the retail delivery cost of service.</w:t>
      </w:r>
    </w:p>
    <w:p w:rsidR="00F336BE" w:rsidRDefault="00F336BE" w:rsidP="00F336BE">
      <w:pPr>
        <w:spacing w:line="480" w:lineRule="auto"/>
        <w:ind w:left="720" w:hanging="720"/>
        <w:jc w:val="both"/>
        <w:rPr>
          <w:b/>
          <w:sz w:val="24"/>
          <w:szCs w:val="24"/>
        </w:rPr>
      </w:pPr>
      <w:r w:rsidRPr="00F336BE">
        <w:rPr>
          <w:b/>
          <w:sz w:val="24"/>
          <w:szCs w:val="24"/>
        </w:rPr>
        <w:t>Q.</w:t>
      </w:r>
      <w:r w:rsidRPr="00F336BE">
        <w:rPr>
          <w:b/>
          <w:sz w:val="24"/>
          <w:szCs w:val="24"/>
        </w:rPr>
        <w:tab/>
        <w:t>Please provide a visual depiction of the costs included in wholesale TCOS versus retail cost of service.</w:t>
      </w:r>
    </w:p>
    <w:p w:rsidR="00F336BE" w:rsidRDefault="00F336BE" w:rsidP="00F336BE">
      <w:pPr>
        <w:spacing w:line="480" w:lineRule="auto"/>
        <w:ind w:left="720" w:hanging="720"/>
        <w:jc w:val="both"/>
        <w:rPr>
          <w:sz w:val="24"/>
          <w:szCs w:val="24"/>
        </w:rPr>
      </w:pPr>
      <w:r w:rsidRPr="00F336BE">
        <w:rPr>
          <w:sz w:val="24"/>
          <w:szCs w:val="24"/>
        </w:rPr>
        <w:t>A.</w:t>
      </w:r>
      <w:r w:rsidRPr="00F336BE">
        <w:rPr>
          <w:sz w:val="24"/>
          <w:szCs w:val="24"/>
        </w:rPr>
        <w:tab/>
      </w:r>
      <w:r>
        <w:rPr>
          <w:sz w:val="24"/>
          <w:szCs w:val="24"/>
        </w:rPr>
        <w:t>As follows:</w:t>
      </w:r>
    </w:p>
    <w:p w:rsidR="00CA0874" w:rsidRDefault="00CA0874" w:rsidP="00F336BE">
      <w:pPr>
        <w:spacing w:line="480" w:lineRule="auto"/>
        <w:ind w:left="720" w:hanging="720"/>
        <w:jc w:val="both"/>
        <w:rPr>
          <w:sz w:val="24"/>
          <w:szCs w:val="24"/>
        </w:rPr>
      </w:pPr>
      <w:r>
        <w:rPr>
          <w:sz w:val="24"/>
          <w:szCs w:val="24"/>
        </w:rPr>
        <w:tab/>
      </w:r>
      <w:r w:rsidR="00EA5BB8" w:rsidRPr="00EA5BB8">
        <w:rPr>
          <w:sz w:val="24"/>
          <w:szCs w:val="24"/>
        </w:rPr>
        <w:t>Figure BTM-1</w:t>
      </w:r>
    </w:p>
    <w:p w:rsidR="00F336BE" w:rsidRPr="00F336BE" w:rsidRDefault="00F227F4" w:rsidP="00AD538F">
      <w:pPr>
        <w:spacing w:line="480" w:lineRule="auto"/>
        <w:ind w:left="720" w:hanging="720"/>
        <w:jc w:val="center"/>
        <w:rPr>
          <w:sz w:val="24"/>
          <w:szCs w:val="24"/>
        </w:rPr>
      </w:pPr>
      <w:r w:rsidRPr="000244D1">
        <w:rPr>
          <w:noProof/>
        </w:rPr>
        <w:lastRenderedPageBreak/>
        <w:drawing>
          <wp:inline distT="0" distB="0" distL="0" distR="0" wp14:anchorId="6BCB78AB" wp14:editId="77E11A46">
            <wp:extent cx="3630168" cy="3465576"/>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0168" cy="3465576"/>
                    </a:xfrm>
                    <a:prstGeom prst="rect">
                      <a:avLst/>
                    </a:prstGeom>
                    <a:noFill/>
                    <a:ln>
                      <a:noFill/>
                    </a:ln>
                  </pic:spPr>
                </pic:pic>
              </a:graphicData>
            </a:graphic>
          </wp:inline>
        </w:drawing>
      </w:r>
    </w:p>
    <w:p w:rsidR="000E5940" w:rsidRPr="000E5940" w:rsidRDefault="000E5940" w:rsidP="0042679F">
      <w:pPr>
        <w:spacing w:line="480" w:lineRule="auto"/>
        <w:ind w:left="720" w:hanging="720"/>
        <w:jc w:val="both"/>
        <w:rPr>
          <w:b/>
          <w:sz w:val="24"/>
          <w:szCs w:val="24"/>
        </w:rPr>
      </w:pPr>
      <w:r w:rsidRPr="000E5940">
        <w:rPr>
          <w:b/>
          <w:sz w:val="24"/>
          <w:szCs w:val="24"/>
        </w:rPr>
        <w:t>Q.</w:t>
      </w:r>
      <w:r w:rsidRPr="000E5940">
        <w:rPr>
          <w:b/>
          <w:sz w:val="24"/>
          <w:szCs w:val="24"/>
        </w:rPr>
        <w:tab/>
        <w:t>Which business functions are included in the wholesale TCOS?</w:t>
      </w:r>
    </w:p>
    <w:p w:rsidR="000E5940" w:rsidRPr="0042679F" w:rsidRDefault="000E5940" w:rsidP="0042679F">
      <w:pPr>
        <w:spacing w:line="480" w:lineRule="auto"/>
        <w:ind w:left="720" w:hanging="720"/>
        <w:jc w:val="both"/>
        <w:rPr>
          <w:sz w:val="24"/>
          <w:szCs w:val="24"/>
        </w:rPr>
      </w:pPr>
      <w:r w:rsidRPr="0042679F">
        <w:rPr>
          <w:sz w:val="24"/>
          <w:szCs w:val="24"/>
        </w:rPr>
        <w:t>A.</w:t>
      </w:r>
      <w:r w:rsidRPr="0042679F">
        <w:rPr>
          <w:sz w:val="24"/>
          <w:szCs w:val="24"/>
        </w:rPr>
        <w:tab/>
      </w:r>
      <w:r w:rsidR="00D94CA8">
        <w:rPr>
          <w:sz w:val="24"/>
          <w:szCs w:val="24"/>
        </w:rPr>
        <w:t xml:space="preserve">As seen above, </w:t>
      </w:r>
      <w:r w:rsidR="00903B28">
        <w:rPr>
          <w:sz w:val="24"/>
          <w:szCs w:val="24"/>
        </w:rPr>
        <w:t xml:space="preserve">all costs assigned to the transmission function with the exception of expenses in </w:t>
      </w:r>
      <w:r w:rsidR="006D58B4">
        <w:rPr>
          <w:sz w:val="24"/>
          <w:szCs w:val="24"/>
        </w:rPr>
        <w:t>A</w:t>
      </w:r>
      <w:r w:rsidR="00683F04">
        <w:rPr>
          <w:sz w:val="24"/>
          <w:szCs w:val="24"/>
        </w:rPr>
        <w:t>ccount 565</w:t>
      </w:r>
      <w:r w:rsidR="00E56BBC">
        <w:rPr>
          <w:sz w:val="24"/>
          <w:szCs w:val="24"/>
        </w:rPr>
        <w:t xml:space="preserve"> </w:t>
      </w:r>
      <w:r w:rsidR="00903B28">
        <w:rPr>
          <w:sz w:val="24"/>
          <w:szCs w:val="24"/>
        </w:rPr>
        <w:t>(</w:t>
      </w:r>
      <w:r w:rsidR="00775231">
        <w:rPr>
          <w:sz w:val="24"/>
          <w:szCs w:val="24"/>
        </w:rPr>
        <w:t xml:space="preserve">net </w:t>
      </w:r>
      <w:r w:rsidR="00903B28">
        <w:rPr>
          <w:sz w:val="24"/>
          <w:szCs w:val="24"/>
        </w:rPr>
        <w:t xml:space="preserve">ERCOT transmission payments) </w:t>
      </w:r>
      <w:r w:rsidR="00E56BBC">
        <w:rPr>
          <w:sz w:val="24"/>
          <w:szCs w:val="24"/>
        </w:rPr>
        <w:t>are</w:t>
      </w:r>
      <w:r w:rsidRPr="0042679F">
        <w:rPr>
          <w:sz w:val="24"/>
          <w:szCs w:val="24"/>
        </w:rPr>
        <w:t xml:space="preserve"> included in the wholesale </w:t>
      </w:r>
      <w:r w:rsidR="00683F04">
        <w:rPr>
          <w:sz w:val="24"/>
          <w:szCs w:val="24"/>
        </w:rPr>
        <w:t>TCOS.</w:t>
      </w:r>
    </w:p>
    <w:p w:rsidR="000E5940" w:rsidRPr="0042679F"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t>What is wholesale transmission service?</w:t>
      </w:r>
    </w:p>
    <w:p w:rsidR="000E5940" w:rsidRPr="0042679F" w:rsidRDefault="000E5940" w:rsidP="0042679F">
      <w:pPr>
        <w:spacing w:line="480" w:lineRule="auto"/>
        <w:ind w:left="720" w:hanging="720"/>
        <w:jc w:val="both"/>
        <w:rPr>
          <w:sz w:val="24"/>
          <w:szCs w:val="24"/>
        </w:rPr>
      </w:pPr>
      <w:r w:rsidRPr="0042679F">
        <w:rPr>
          <w:sz w:val="24"/>
          <w:szCs w:val="24"/>
        </w:rPr>
        <w:t>A.</w:t>
      </w:r>
      <w:r w:rsidRPr="0042679F">
        <w:rPr>
          <w:sz w:val="24"/>
          <w:szCs w:val="24"/>
        </w:rPr>
        <w:tab/>
        <w:t>Texas operates its own transmission grid</w:t>
      </w:r>
      <w:r w:rsidR="00445AA9">
        <w:rPr>
          <w:sz w:val="24"/>
          <w:szCs w:val="24"/>
        </w:rPr>
        <w:t>,</w:t>
      </w:r>
      <w:r w:rsidRPr="0042679F">
        <w:rPr>
          <w:sz w:val="24"/>
          <w:szCs w:val="24"/>
        </w:rPr>
        <w:t xml:space="preserve"> which is contained within the State.  </w:t>
      </w:r>
      <w:r w:rsidR="003F70D4" w:rsidRPr="0042679F">
        <w:rPr>
          <w:sz w:val="24"/>
          <w:szCs w:val="24"/>
        </w:rPr>
        <w:t xml:space="preserve">Power is transmitted throughout the grid from the source (a </w:t>
      </w:r>
      <w:r w:rsidR="003F70D4">
        <w:rPr>
          <w:sz w:val="24"/>
          <w:szCs w:val="24"/>
        </w:rPr>
        <w:t>market generator</w:t>
      </w:r>
      <w:r w:rsidR="003F70D4" w:rsidRPr="0042679F">
        <w:rPr>
          <w:sz w:val="24"/>
          <w:szCs w:val="24"/>
        </w:rPr>
        <w:t>) to points of interconnection with the grid’s wholesale customers (distribution utilities throughout the grid).</w:t>
      </w:r>
      <w:r w:rsidR="003F70D4">
        <w:rPr>
          <w:rStyle w:val="FootnoteReference"/>
          <w:sz w:val="24"/>
          <w:szCs w:val="24"/>
        </w:rPr>
        <w:footnoteReference w:id="7"/>
      </w:r>
      <w:r w:rsidR="003F70D4">
        <w:rPr>
          <w:sz w:val="24"/>
          <w:szCs w:val="24"/>
        </w:rPr>
        <w:t xml:space="preserve">  </w:t>
      </w:r>
      <w:r w:rsidRPr="0042679F">
        <w:rPr>
          <w:sz w:val="24"/>
          <w:szCs w:val="24"/>
        </w:rPr>
        <w:t>The grid is operated and administered by the Electric Re</w:t>
      </w:r>
      <w:r w:rsidRPr="0042679F">
        <w:rPr>
          <w:sz w:val="24"/>
          <w:szCs w:val="24"/>
        </w:rPr>
        <w:lastRenderedPageBreak/>
        <w:t>liability Council of Texas (ERCOT), and is referred to as the “ERCOT transmission grid” or simply “ERCOT.”</w:t>
      </w:r>
      <w:r w:rsidR="00443741">
        <w:rPr>
          <w:rStyle w:val="FootnoteReference"/>
          <w:sz w:val="24"/>
          <w:szCs w:val="24"/>
        </w:rPr>
        <w:footnoteReference w:id="8"/>
      </w:r>
      <w:r w:rsidRPr="0042679F">
        <w:rPr>
          <w:sz w:val="24"/>
          <w:szCs w:val="24"/>
        </w:rPr>
        <w:t xml:space="preserve">  Wholesale customers pay for access to the ERCOT transmission grid.  </w:t>
      </w:r>
    </w:p>
    <w:p w:rsidR="000E5940" w:rsidRPr="0042679F" w:rsidRDefault="000E5940" w:rsidP="0042679F">
      <w:pPr>
        <w:spacing w:line="480" w:lineRule="auto"/>
        <w:ind w:left="720" w:firstLine="720"/>
        <w:jc w:val="both"/>
        <w:rPr>
          <w:sz w:val="24"/>
          <w:szCs w:val="24"/>
        </w:rPr>
      </w:pPr>
      <w:r w:rsidRPr="0042679F">
        <w:rPr>
          <w:sz w:val="24"/>
          <w:szCs w:val="24"/>
        </w:rPr>
        <w:t xml:space="preserve">Although the ERCOT </w:t>
      </w:r>
      <w:r w:rsidR="009C26C7">
        <w:rPr>
          <w:sz w:val="24"/>
          <w:szCs w:val="24"/>
        </w:rPr>
        <w:t xml:space="preserve">transmission </w:t>
      </w:r>
      <w:r w:rsidRPr="0042679F">
        <w:rPr>
          <w:sz w:val="24"/>
          <w:szCs w:val="24"/>
        </w:rPr>
        <w:t xml:space="preserve">grid is operated as a single integrated system, a multitude of individual utilities own </w:t>
      </w:r>
      <w:r w:rsidR="009C26C7">
        <w:rPr>
          <w:sz w:val="24"/>
          <w:szCs w:val="24"/>
        </w:rPr>
        <w:t>portions</w:t>
      </w:r>
      <w:r w:rsidRPr="0042679F">
        <w:rPr>
          <w:sz w:val="24"/>
          <w:szCs w:val="24"/>
        </w:rPr>
        <w:t xml:space="preserve"> of the grid.</w:t>
      </w:r>
    </w:p>
    <w:p w:rsidR="00286DBE"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t xml:space="preserve">Which utilities own a </w:t>
      </w:r>
      <w:r w:rsidR="005812AA">
        <w:rPr>
          <w:b/>
          <w:sz w:val="24"/>
          <w:szCs w:val="24"/>
        </w:rPr>
        <w:t>portion</w:t>
      </w:r>
      <w:r w:rsidRPr="0042679F">
        <w:rPr>
          <w:b/>
          <w:sz w:val="24"/>
          <w:szCs w:val="24"/>
        </w:rPr>
        <w:t xml:space="preserve"> of the grid?</w:t>
      </w:r>
    </w:p>
    <w:p w:rsidR="000E5940" w:rsidRPr="0042679F" w:rsidRDefault="0042679F" w:rsidP="0042679F">
      <w:pPr>
        <w:spacing w:line="480" w:lineRule="auto"/>
        <w:ind w:left="720" w:hanging="720"/>
        <w:jc w:val="both"/>
        <w:rPr>
          <w:sz w:val="24"/>
          <w:szCs w:val="24"/>
        </w:rPr>
      </w:pPr>
      <w:r>
        <w:rPr>
          <w:sz w:val="24"/>
          <w:szCs w:val="24"/>
        </w:rPr>
        <w:t>A.</w:t>
      </w:r>
      <w:r>
        <w:rPr>
          <w:sz w:val="24"/>
          <w:szCs w:val="24"/>
        </w:rPr>
        <w:tab/>
      </w:r>
      <w:r w:rsidR="000E5940" w:rsidRPr="0042679F">
        <w:rPr>
          <w:sz w:val="24"/>
          <w:szCs w:val="24"/>
        </w:rPr>
        <w:t xml:space="preserve">There are 49 utilities that own a </w:t>
      </w:r>
      <w:r w:rsidR="005812AA">
        <w:rPr>
          <w:sz w:val="24"/>
          <w:szCs w:val="24"/>
        </w:rPr>
        <w:t>portion</w:t>
      </w:r>
      <w:r w:rsidR="000E5940" w:rsidRPr="0042679F">
        <w:rPr>
          <w:sz w:val="24"/>
          <w:szCs w:val="24"/>
        </w:rPr>
        <w:t xml:space="preserve"> of the grid, including investor-owned transmis</w:t>
      </w:r>
      <w:r>
        <w:rPr>
          <w:sz w:val="24"/>
          <w:szCs w:val="24"/>
        </w:rPr>
        <w:t>sion &amp; distribution utilities,</w:t>
      </w:r>
      <w:r w:rsidR="009720C3">
        <w:rPr>
          <w:rStyle w:val="FootnoteReference"/>
          <w:sz w:val="24"/>
          <w:szCs w:val="24"/>
        </w:rPr>
        <w:footnoteReference w:id="9"/>
      </w:r>
      <w:r>
        <w:rPr>
          <w:sz w:val="24"/>
          <w:szCs w:val="24"/>
        </w:rPr>
        <w:t xml:space="preserve"> </w:t>
      </w:r>
      <w:r w:rsidR="009720C3">
        <w:rPr>
          <w:sz w:val="24"/>
          <w:szCs w:val="24"/>
        </w:rPr>
        <w:t>investor-</w:t>
      </w:r>
      <w:r w:rsidR="009720C3">
        <w:rPr>
          <w:sz w:val="24"/>
          <w:szCs w:val="24"/>
        </w:rPr>
        <w:lastRenderedPageBreak/>
        <w:t>owned transmission-only utilities,</w:t>
      </w:r>
      <w:r w:rsidR="009720C3">
        <w:rPr>
          <w:rStyle w:val="FootnoteReference"/>
          <w:sz w:val="24"/>
          <w:szCs w:val="24"/>
        </w:rPr>
        <w:footnoteReference w:id="10"/>
      </w:r>
      <w:r w:rsidR="009720C3">
        <w:rPr>
          <w:sz w:val="24"/>
          <w:szCs w:val="24"/>
        </w:rPr>
        <w:t xml:space="preserve"> municipalities,</w:t>
      </w:r>
      <w:r w:rsidR="009720C3">
        <w:rPr>
          <w:rStyle w:val="FootnoteReference"/>
          <w:sz w:val="24"/>
          <w:szCs w:val="24"/>
        </w:rPr>
        <w:footnoteReference w:id="11"/>
      </w:r>
      <w:r w:rsidR="009720C3">
        <w:rPr>
          <w:sz w:val="24"/>
          <w:szCs w:val="24"/>
        </w:rPr>
        <w:t xml:space="preserve"> electric cooperatives,</w:t>
      </w:r>
      <w:r w:rsidR="009720C3">
        <w:rPr>
          <w:rStyle w:val="FootnoteReference"/>
          <w:sz w:val="24"/>
          <w:szCs w:val="24"/>
        </w:rPr>
        <w:footnoteReference w:id="12"/>
      </w:r>
      <w:r w:rsidR="009720C3">
        <w:rPr>
          <w:sz w:val="24"/>
          <w:szCs w:val="24"/>
        </w:rPr>
        <w:t xml:space="preserve"> and a river authority.</w:t>
      </w:r>
      <w:r w:rsidR="009720C3">
        <w:rPr>
          <w:rStyle w:val="FootnoteReference"/>
          <w:sz w:val="24"/>
          <w:szCs w:val="24"/>
        </w:rPr>
        <w:footnoteReference w:id="13"/>
      </w:r>
    </w:p>
    <w:p w:rsidR="000E5940" w:rsidRPr="0042679F" w:rsidRDefault="000E5940" w:rsidP="0042679F">
      <w:pPr>
        <w:spacing w:line="480" w:lineRule="auto"/>
        <w:ind w:left="720" w:firstLine="720"/>
        <w:jc w:val="both"/>
        <w:rPr>
          <w:sz w:val="24"/>
          <w:szCs w:val="24"/>
        </w:rPr>
      </w:pPr>
      <w:r w:rsidRPr="0042679F">
        <w:rPr>
          <w:sz w:val="24"/>
          <w:szCs w:val="24"/>
        </w:rPr>
        <w:t xml:space="preserve">A utility </w:t>
      </w:r>
      <w:r w:rsidR="00EE086E">
        <w:rPr>
          <w:sz w:val="24"/>
          <w:szCs w:val="24"/>
        </w:rPr>
        <w:t>that</w:t>
      </w:r>
      <w:r w:rsidRPr="0042679F">
        <w:rPr>
          <w:sz w:val="24"/>
          <w:szCs w:val="24"/>
        </w:rPr>
        <w:t xml:space="preserve"> owns a </w:t>
      </w:r>
      <w:r w:rsidR="005812AA">
        <w:rPr>
          <w:sz w:val="24"/>
          <w:szCs w:val="24"/>
        </w:rPr>
        <w:t>portion</w:t>
      </w:r>
      <w:r w:rsidRPr="0042679F">
        <w:rPr>
          <w:sz w:val="24"/>
          <w:szCs w:val="24"/>
        </w:rPr>
        <w:t xml:space="preserve"> of the grid is referred to as a “transmi</w:t>
      </w:r>
      <w:r w:rsidR="00824262">
        <w:rPr>
          <w:sz w:val="24"/>
          <w:szCs w:val="24"/>
        </w:rPr>
        <w:t>ssion service provider” (TSP).</w:t>
      </w:r>
      <w:r w:rsidR="0044485C">
        <w:rPr>
          <w:rStyle w:val="FootnoteReference"/>
          <w:sz w:val="24"/>
          <w:szCs w:val="24"/>
        </w:rPr>
        <w:footnoteReference w:id="14"/>
      </w:r>
    </w:p>
    <w:p w:rsidR="000E5940" w:rsidRPr="0042679F"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t xml:space="preserve">What </w:t>
      </w:r>
      <w:r w:rsidR="00FD02B9">
        <w:rPr>
          <w:b/>
          <w:sz w:val="24"/>
          <w:szCs w:val="24"/>
        </w:rPr>
        <w:t>portion</w:t>
      </w:r>
      <w:r w:rsidRPr="0042679F">
        <w:rPr>
          <w:b/>
          <w:sz w:val="24"/>
          <w:szCs w:val="24"/>
        </w:rPr>
        <w:t xml:space="preserve"> of the grid is owned by each TSP?</w:t>
      </w:r>
    </w:p>
    <w:p w:rsidR="008D55FC" w:rsidRDefault="0042679F" w:rsidP="0042679F">
      <w:pPr>
        <w:spacing w:line="480" w:lineRule="auto"/>
        <w:ind w:left="720" w:hanging="720"/>
        <w:jc w:val="both"/>
        <w:rPr>
          <w:sz w:val="24"/>
          <w:szCs w:val="24"/>
        </w:rPr>
      </w:pPr>
      <w:r>
        <w:rPr>
          <w:sz w:val="24"/>
          <w:szCs w:val="24"/>
        </w:rPr>
        <w:t>A.</w:t>
      </w:r>
      <w:r>
        <w:rPr>
          <w:sz w:val="24"/>
          <w:szCs w:val="24"/>
        </w:rPr>
        <w:tab/>
      </w:r>
      <w:r w:rsidR="000E5940" w:rsidRPr="0042679F">
        <w:rPr>
          <w:sz w:val="24"/>
          <w:szCs w:val="24"/>
        </w:rPr>
        <w:t xml:space="preserve">A TSP’s </w:t>
      </w:r>
      <w:r w:rsidR="004809A8">
        <w:rPr>
          <w:sz w:val="24"/>
          <w:szCs w:val="24"/>
        </w:rPr>
        <w:t>portion</w:t>
      </w:r>
      <w:r w:rsidR="000E5940" w:rsidRPr="0042679F">
        <w:rPr>
          <w:sz w:val="24"/>
          <w:szCs w:val="24"/>
        </w:rPr>
        <w:t xml:space="preserve"> of </w:t>
      </w:r>
      <w:r w:rsidR="00FD02B9">
        <w:rPr>
          <w:sz w:val="24"/>
          <w:szCs w:val="24"/>
        </w:rPr>
        <w:t>total wholesale transmission revenues</w:t>
      </w:r>
      <w:r w:rsidR="000E5940" w:rsidRPr="0042679F">
        <w:rPr>
          <w:sz w:val="24"/>
          <w:szCs w:val="24"/>
        </w:rPr>
        <w:t xml:space="preserve"> </w:t>
      </w:r>
      <w:r w:rsidR="00FD02B9">
        <w:rPr>
          <w:sz w:val="24"/>
          <w:szCs w:val="24"/>
        </w:rPr>
        <w:t xml:space="preserve">from </w:t>
      </w:r>
      <w:r w:rsidR="000E5940" w:rsidRPr="0042679F">
        <w:rPr>
          <w:sz w:val="24"/>
          <w:szCs w:val="24"/>
        </w:rPr>
        <w:t xml:space="preserve">the grid is equal to that TSP’s </w:t>
      </w:r>
      <w:r w:rsidR="00FD02B9">
        <w:rPr>
          <w:sz w:val="24"/>
          <w:szCs w:val="24"/>
        </w:rPr>
        <w:t>wholesale transmission rate</w:t>
      </w:r>
      <w:r w:rsidR="000E5940" w:rsidRPr="0042679F">
        <w:rPr>
          <w:sz w:val="24"/>
          <w:szCs w:val="24"/>
        </w:rPr>
        <w:t xml:space="preserve"> divided by the sum of all </w:t>
      </w:r>
      <w:r w:rsidR="004F0D9F">
        <w:rPr>
          <w:sz w:val="24"/>
          <w:szCs w:val="24"/>
        </w:rPr>
        <w:t xml:space="preserve">TSPs’ </w:t>
      </w:r>
      <w:r w:rsidR="00FD02B9">
        <w:rPr>
          <w:sz w:val="24"/>
          <w:szCs w:val="24"/>
        </w:rPr>
        <w:t>wholesale transmission rates</w:t>
      </w:r>
      <w:r w:rsidR="000E5940" w:rsidRPr="0042679F">
        <w:rPr>
          <w:sz w:val="24"/>
          <w:szCs w:val="24"/>
        </w:rPr>
        <w:t xml:space="preserve">.  </w:t>
      </w:r>
      <w:r w:rsidR="000E5940" w:rsidRPr="006A2B60">
        <w:rPr>
          <w:sz w:val="24"/>
          <w:szCs w:val="24"/>
        </w:rPr>
        <w:t>For example, at the time of the Commission’s last docket to establis</w:t>
      </w:r>
      <w:r w:rsidR="00F81E59" w:rsidRPr="006A2B60">
        <w:rPr>
          <w:sz w:val="24"/>
          <w:szCs w:val="24"/>
        </w:rPr>
        <w:t>h ERCOT transmission payments,</w:t>
      </w:r>
      <w:r w:rsidR="003B47DF" w:rsidRPr="006A2B60">
        <w:rPr>
          <w:rStyle w:val="FootnoteReference"/>
          <w:sz w:val="24"/>
          <w:szCs w:val="24"/>
        </w:rPr>
        <w:footnoteReference w:id="15"/>
      </w:r>
      <w:r w:rsidR="00F81E59" w:rsidRPr="006A2B60">
        <w:rPr>
          <w:sz w:val="24"/>
          <w:szCs w:val="24"/>
        </w:rPr>
        <w:t xml:space="preserve"> </w:t>
      </w:r>
      <w:r w:rsidR="00C8262C">
        <w:rPr>
          <w:sz w:val="24"/>
          <w:szCs w:val="24"/>
        </w:rPr>
        <w:t>CEHE</w:t>
      </w:r>
      <w:r w:rsidR="000E5940" w:rsidRPr="006A2B60">
        <w:rPr>
          <w:sz w:val="24"/>
          <w:szCs w:val="24"/>
        </w:rPr>
        <w:t xml:space="preserve">’s </w:t>
      </w:r>
      <w:r w:rsidR="00FD02B9" w:rsidRPr="006A2B60">
        <w:rPr>
          <w:sz w:val="24"/>
          <w:szCs w:val="24"/>
        </w:rPr>
        <w:t>wholesale transmission rate</w:t>
      </w:r>
      <w:r w:rsidR="000E5940" w:rsidRPr="006A2B60">
        <w:rPr>
          <w:sz w:val="24"/>
          <w:szCs w:val="24"/>
        </w:rPr>
        <w:t xml:space="preserve"> was </w:t>
      </w:r>
      <w:r w:rsidR="006A2B60" w:rsidRPr="006A2B60">
        <w:rPr>
          <w:sz w:val="24"/>
          <w:szCs w:val="24"/>
        </w:rPr>
        <w:t xml:space="preserve">$5.781925 per </w:t>
      </w:r>
      <w:r w:rsidR="006A2B60">
        <w:rPr>
          <w:sz w:val="24"/>
          <w:szCs w:val="24"/>
        </w:rPr>
        <w:t>kilowatt</w:t>
      </w:r>
      <w:r w:rsidR="000E5940" w:rsidRPr="0042679F">
        <w:rPr>
          <w:sz w:val="24"/>
          <w:szCs w:val="24"/>
        </w:rPr>
        <w:t xml:space="preserve">; the sum of all </w:t>
      </w:r>
      <w:r w:rsidR="00FD02B9">
        <w:rPr>
          <w:sz w:val="24"/>
          <w:szCs w:val="24"/>
        </w:rPr>
        <w:t>wholesale transmission rates</w:t>
      </w:r>
      <w:r w:rsidR="000E5940" w:rsidRPr="0042679F">
        <w:rPr>
          <w:sz w:val="24"/>
          <w:szCs w:val="24"/>
        </w:rPr>
        <w:t xml:space="preserve"> was </w:t>
      </w:r>
      <w:r w:rsidR="00FD02B9" w:rsidRPr="00286DBE">
        <w:rPr>
          <w:sz w:val="24"/>
          <w:szCs w:val="24"/>
        </w:rPr>
        <w:t>$</w:t>
      </w:r>
      <w:r w:rsidR="00286DBE" w:rsidRPr="00286DBE">
        <w:rPr>
          <w:sz w:val="24"/>
          <w:szCs w:val="24"/>
        </w:rPr>
        <w:t>54.567752 per kilowatt</w:t>
      </w:r>
      <w:r w:rsidR="000E5940" w:rsidRPr="00286DBE">
        <w:rPr>
          <w:sz w:val="24"/>
          <w:szCs w:val="24"/>
        </w:rPr>
        <w:t>; and</w:t>
      </w:r>
      <w:r w:rsidR="000E5940" w:rsidRPr="0042679F">
        <w:rPr>
          <w:sz w:val="24"/>
          <w:szCs w:val="24"/>
        </w:rPr>
        <w:t xml:space="preserve">, </w:t>
      </w:r>
      <w:r w:rsidR="00C8262C">
        <w:rPr>
          <w:sz w:val="24"/>
          <w:szCs w:val="24"/>
        </w:rPr>
        <w:t>CEHE</w:t>
      </w:r>
      <w:r w:rsidR="000E5940" w:rsidRPr="0042679F">
        <w:rPr>
          <w:sz w:val="24"/>
          <w:szCs w:val="24"/>
        </w:rPr>
        <w:t xml:space="preserve">’s </w:t>
      </w:r>
      <w:r w:rsidR="00FD02B9">
        <w:rPr>
          <w:sz w:val="24"/>
          <w:szCs w:val="24"/>
        </w:rPr>
        <w:t>share of wholesale transmission revenues</w:t>
      </w:r>
      <w:r w:rsidR="005F1AD4">
        <w:rPr>
          <w:sz w:val="24"/>
          <w:szCs w:val="24"/>
        </w:rPr>
        <w:t xml:space="preserve"> was 10.</w:t>
      </w:r>
      <w:r w:rsidR="00104F79">
        <w:rPr>
          <w:sz w:val="24"/>
          <w:szCs w:val="24"/>
        </w:rPr>
        <w:t>59</w:t>
      </w:r>
      <w:r w:rsidR="005F1AD4">
        <w:rPr>
          <w:sz w:val="24"/>
          <w:szCs w:val="24"/>
        </w:rPr>
        <w:t>%.</w:t>
      </w:r>
    </w:p>
    <w:p w:rsidR="000E5940" w:rsidRPr="0042679F" w:rsidRDefault="00D87CCB" w:rsidP="008D55FC">
      <w:pPr>
        <w:spacing w:line="480" w:lineRule="auto"/>
        <w:ind w:left="720" w:firstLine="720"/>
        <w:jc w:val="both"/>
        <w:rPr>
          <w:sz w:val="24"/>
          <w:szCs w:val="24"/>
        </w:rPr>
      </w:pPr>
      <w:r>
        <w:rPr>
          <w:sz w:val="24"/>
          <w:szCs w:val="24"/>
        </w:rPr>
        <w:t>The Company</w:t>
      </w:r>
      <w:r w:rsidR="000E5940" w:rsidRPr="0042679F">
        <w:rPr>
          <w:sz w:val="24"/>
          <w:szCs w:val="24"/>
        </w:rPr>
        <w:t xml:space="preserve">’s TCOS </w:t>
      </w:r>
      <w:r w:rsidR="00E370E3">
        <w:rPr>
          <w:sz w:val="24"/>
          <w:szCs w:val="24"/>
        </w:rPr>
        <w:t xml:space="preserve">and wholesale transmission rate </w:t>
      </w:r>
      <w:r w:rsidR="000E5940" w:rsidRPr="0042679F">
        <w:rPr>
          <w:sz w:val="24"/>
          <w:szCs w:val="24"/>
        </w:rPr>
        <w:t xml:space="preserve">will be updated in this proceeding, and its </w:t>
      </w:r>
      <w:r w:rsidR="00E370E3">
        <w:rPr>
          <w:sz w:val="24"/>
          <w:szCs w:val="24"/>
        </w:rPr>
        <w:t>revenue</w:t>
      </w:r>
      <w:r w:rsidR="000E5940" w:rsidRPr="0042679F">
        <w:rPr>
          <w:sz w:val="24"/>
          <w:szCs w:val="24"/>
        </w:rPr>
        <w:t xml:space="preserve"> share will </w:t>
      </w:r>
      <w:r w:rsidR="000E5940" w:rsidRPr="0042679F">
        <w:rPr>
          <w:sz w:val="24"/>
          <w:szCs w:val="24"/>
        </w:rPr>
        <w:lastRenderedPageBreak/>
        <w:t xml:space="preserve">change.  Staff’s recommended TCOS for </w:t>
      </w:r>
      <w:r w:rsidR="00C8262C">
        <w:rPr>
          <w:sz w:val="24"/>
          <w:szCs w:val="24"/>
        </w:rPr>
        <w:t>CEHE</w:t>
      </w:r>
      <w:r w:rsidR="000E5940" w:rsidRPr="0042679F">
        <w:rPr>
          <w:sz w:val="24"/>
          <w:szCs w:val="24"/>
        </w:rPr>
        <w:t xml:space="preserve"> is </w:t>
      </w:r>
      <w:r w:rsidR="0025492F">
        <w:rPr>
          <w:sz w:val="24"/>
          <w:szCs w:val="24"/>
        </w:rPr>
        <w:t>$</w:t>
      </w:r>
      <w:r w:rsidR="0025492F" w:rsidRPr="0025492F">
        <w:rPr>
          <w:sz w:val="24"/>
          <w:szCs w:val="24"/>
        </w:rPr>
        <w:t xml:space="preserve">336,923,105.28 </w:t>
      </w:r>
      <w:r w:rsidR="00E370E3">
        <w:rPr>
          <w:sz w:val="24"/>
          <w:szCs w:val="24"/>
        </w:rPr>
        <w:t xml:space="preserve">and wholesale transmission access rate is </w:t>
      </w:r>
      <w:r w:rsidR="0025492F">
        <w:rPr>
          <w:sz w:val="24"/>
          <w:szCs w:val="24"/>
        </w:rPr>
        <w:t>$</w:t>
      </w:r>
      <w:r w:rsidR="0025492F" w:rsidRPr="0025492F">
        <w:rPr>
          <w:sz w:val="24"/>
          <w:szCs w:val="24"/>
        </w:rPr>
        <w:t>4.8569719</w:t>
      </w:r>
      <w:r w:rsidR="0025492F">
        <w:rPr>
          <w:sz w:val="24"/>
          <w:szCs w:val="24"/>
        </w:rPr>
        <w:t xml:space="preserve"> per kilowatt</w:t>
      </w:r>
      <w:r w:rsidR="000E5940" w:rsidRPr="0042679F">
        <w:rPr>
          <w:sz w:val="24"/>
          <w:szCs w:val="24"/>
        </w:rPr>
        <w:t>,</w:t>
      </w:r>
      <w:r w:rsidR="0025492F">
        <w:rPr>
          <w:rStyle w:val="FootnoteReference"/>
          <w:sz w:val="24"/>
          <w:szCs w:val="24"/>
        </w:rPr>
        <w:footnoteReference w:id="16"/>
      </w:r>
      <w:r w:rsidR="000E5940" w:rsidRPr="0042679F">
        <w:rPr>
          <w:sz w:val="24"/>
          <w:szCs w:val="24"/>
        </w:rPr>
        <w:t xml:space="preserve"> as further discussed later in my testimony.</w:t>
      </w:r>
    </w:p>
    <w:p w:rsidR="000E5940" w:rsidRPr="0042679F" w:rsidRDefault="000E5940" w:rsidP="0042679F">
      <w:pPr>
        <w:spacing w:line="480" w:lineRule="auto"/>
        <w:ind w:left="720" w:firstLine="720"/>
        <w:jc w:val="both"/>
        <w:rPr>
          <w:sz w:val="24"/>
          <w:szCs w:val="24"/>
        </w:rPr>
      </w:pPr>
      <w:r w:rsidRPr="0042679F">
        <w:rPr>
          <w:sz w:val="24"/>
          <w:szCs w:val="24"/>
        </w:rPr>
        <w:t xml:space="preserve">Ownership of a </w:t>
      </w:r>
      <w:r w:rsidR="006313BD">
        <w:rPr>
          <w:sz w:val="24"/>
          <w:szCs w:val="24"/>
        </w:rPr>
        <w:t>portion</w:t>
      </w:r>
      <w:r w:rsidRPr="0042679F">
        <w:rPr>
          <w:sz w:val="24"/>
          <w:szCs w:val="24"/>
        </w:rPr>
        <w:t xml:space="preserve"> of the grid is the basis for a TSP’s claim to a share of the transmission payments made by the grid</w:t>
      </w:r>
      <w:r w:rsidR="00F83ED3">
        <w:rPr>
          <w:sz w:val="24"/>
          <w:szCs w:val="24"/>
        </w:rPr>
        <w:t>’s customers</w:t>
      </w:r>
      <w:r w:rsidRPr="0042679F">
        <w:rPr>
          <w:sz w:val="24"/>
          <w:szCs w:val="24"/>
        </w:rPr>
        <w:t xml:space="preserve">.  At the time of Docket No. 48928, </w:t>
      </w:r>
      <w:r w:rsidR="00C8262C">
        <w:rPr>
          <w:sz w:val="24"/>
          <w:szCs w:val="24"/>
        </w:rPr>
        <w:t>CEHE</w:t>
      </w:r>
      <w:r w:rsidRPr="0042679F">
        <w:rPr>
          <w:sz w:val="24"/>
          <w:szCs w:val="24"/>
        </w:rPr>
        <w:t xml:space="preserve"> </w:t>
      </w:r>
      <w:r w:rsidR="003F70D4">
        <w:rPr>
          <w:sz w:val="24"/>
          <w:szCs w:val="24"/>
        </w:rPr>
        <w:t>(</w:t>
      </w:r>
      <w:r w:rsidR="008D55FC" w:rsidRPr="0042679F">
        <w:rPr>
          <w:sz w:val="24"/>
          <w:szCs w:val="24"/>
        </w:rPr>
        <w:t xml:space="preserve">acting in its role as a </w:t>
      </w:r>
      <w:r w:rsidR="008D55FC">
        <w:rPr>
          <w:sz w:val="24"/>
          <w:szCs w:val="24"/>
        </w:rPr>
        <w:t>TSP</w:t>
      </w:r>
      <w:r w:rsidR="003F70D4">
        <w:rPr>
          <w:sz w:val="24"/>
          <w:szCs w:val="24"/>
        </w:rPr>
        <w:t>)</w:t>
      </w:r>
      <w:r w:rsidR="008D55FC">
        <w:rPr>
          <w:sz w:val="24"/>
          <w:szCs w:val="24"/>
        </w:rPr>
        <w:t xml:space="preserve"> </w:t>
      </w:r>
      <w:r w:rsidRPr="0042679F">
        <w:rPr>
          <w:sz w:val="24"/>
          <w:szCs w:val="24"/>
        </w:rPr>
        <w:t>was receiving app</w:t>
      </w:r>
      <w:r w:rsidR="00AD481D">
        <w:rPr>
          <w:sz w:val="24"/>
          <w:szCs w:val="24"/>
        </w:rPr>
        <w:t>roximately 10.59</w:t>
      </w:r>
      <w:r w:rsidRPr="0042679F">
        <w:rPr>
          <w:sz w:val="24"/>
          <w:szCs w:val="24"/>
        </w:rPr>
        <w:t>% of all ERCOT transmission payments because it owned that percentage of the grid.</w:t>
      </w:r>
    </w:p>
    <w:p w:rsidR="000E5940" w:rsidRPr="0042679F"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t>Who are the grid</w:t>
      </w:r>
      <w:r w:rsidR="00F83ED3">
        <w:rPr>
          <w:b/>
          <w:sz w:val="24"/>
          <w:szCs w:val="24"/>
        </w:rPr>
        <w:t>’s customers</w:t>
      </w:r>
      <w:r w:rsidRPr="0042679F">
        <w:rPr>
          <w:b/>
          <w:sz w:val="24"/>
          <w:szCs w:val="24"/>
        </w:rPr>
        <w:t>?</w:t>
      </w:r>
    </w:p>
    <w:p w:rsidR="0024053E" w:rsidRDefault="0042679F" w:rsidP="0042679F">
      <w:pPr>
        <w:spacing w:line="480" w:lineRule="auto"/>
        <w:ind w:left="720" w:hanging="720"/>
        <w:jc w:val="both"/>
        <w:rPr>
          <w:sz w:val="24"/>
          <w:szCs w:val="24"/>
        </w:rPr>
      </w:pPr>
      <w:r>
        <w:rPr>
          <w:sz w:val="24"/>
          <w:szCs w:val="24"/>
        </w:rPr>
        <w:t>A.</w:t>
      </w:r>
      <w:r>
        <w:rPr>
          <w:sz w:val="24"/>
          <w:szCs w:val="24"/>
        </w:rPr>
        <w:tab/>
      </w:r>
      <w:r w:rsidR="000E5940" w:rsidRPr="0042679F">
        <w:rPr>
          <w:sz w:val="24"/>
          <w:szCs w:val="24"/>
        </w:rPr>
        <w:t>Other utilities.  The grid’s wholesale customers are load serving entities that provide distribution services to retail customers.</w:t>
      </w:r>
      <w:r w:rsidR="00D0077C">
        <w:rPr>
          <w:rStyle w:val="FootnoteReference"/>
          <w:sz w:val="24"/>
          <w:szCs w:val="24"/>
        </w:rPr>
        <w:footnoteReference w:id="17"/>
      </w:r>
      <w:r w:rsidR="000E5940" w:rsidRPr="0042679F">
        <w:rPr>
          <w:sz w:val="24"/>
          <w:szCs w:val="24"/>
        </w:rPr>
        <w:t xml:space="preserve">  At the time of Docket No. 48928, there were 123 load serving entities that established load for the purpose of the assessment of wholesale transmission service charges in ERCOT (as listed below, in some instances a single distribution utility is shown with multiple load entries).</w:t>
      </w:r>
      <w:r w:rsidR="000A36FC">
        <w:rPr>
          <w:rStyle w:val="FootnoteReference"/>
          <w:sz w:val="24"/>
          <w:szCs w:val="24"/>
        </w:rPr>
        <w:footnoteReference w:id="18"/>
      </w:r>
    </w:p>
    <w:p w:rsidR="000E5940" w:rsidRPr="0042679F" w:rsidRDefault="000E5940" w:rsidP="0024053E">
      <w:pPr>
        <w:spacing w:line="480" w:lineRule="auto"/>
        <w:ind w:left="720" w:firstLine="720"/>
        <w:jc w:val="both"/>
        <w:rPr>
          <w:sz w:val="24"/>
          <w:szCs w:val="24"/>
        </w:rPr>
      </w:pPr>
      <w:r w:rsidRPr="0042679F">
        <w:rPr>
          <w:sz w:val="24"/>
          <w:szCs w:val="24"/>
        </w:rPr>
        <w:lastRenderedPageBreak/>
        <w:t>The grid’s wholesale customers are mostly municipalities and electric cooperatives, but also include investor-owned distribution utilities like Oncor Electric Delivery Company LLC.</w:t>
      </w:r>
    </w:p>
    <w:p w:rsidR="000E5940" w:rsidRPr="0042679F"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t>How are the costs of the ERCOT transmission grid assessed to the grid’s wholesale customers?</w:t>
      </w:r>
    </w:p>
    <w:p w:rsidR="000E5940" w:rsidRPr="0042679F" w:rsidRDefault="0042679F" w:rsidP="0042679F">
      <w:pPr>
        <w:spacing w:line="480" w:lineRule="auto"/>
        <w:ind w:left="720" w:hanging="720"/>
        <w:jc w:val="both"/>
        <w:rPr>
          <w:sz w:val="24"/>
          <w:szCs w:val="24"/>
        </w:rPr>
      </w:pPr>
      <w:r>
        <w:rPr>
          <w:sz w:val="24"/>
          <w:szCs w:val="24"/>
        </w:rPr>
        <w:t>A.</w:t>
      </w:r>
      <w:r>
        <w:rPr>
          <w:sz w:val="24"/>
          <w:szCs w:val="24"/>
        </w:rPr>
        <w:tab/>
      </w:r>
      <w:r w:rsidR="000E5940" w:rsidRPr="0042679F">
        <w:rPr>
          <w:sz w:val="24"/>
          <w:szCs w:val="24"/>
        </w:rPr>
        <w:t xml:space="preserve">Wholesale customers pay for access to the integrated grid.  For each customer, the access fees are based on that customer’s load on the grid at the time of the grid’s monthly peak loads in June, </w:t>
      </w:r>
      <w:r w:rsidR="000E5940" w:rsidRPr="0042679F">
        <w:rPr>
          <w:sz w:val="24"/>
          <w:szCs w:val="24"/>
        </w:rPr>
        <w:lastRenderedPageBreak/>
        <w:t>July, August and September of the prior year’s summer.</w:t>
      </w:r>
      <w:r w:rsidR="00E05FC2">
        <w:rPr>
          <w:rStyle w:val="FootnoteReference"/>
          <w:sz w:val="24"/>
          <w:szCs w:val="24"/>
        </w:rPr>
        <w:footnoteReference w:id="19"/>
      </w:r>
      <w:r w:rsidR="000E5940" w:rsidRPr="0042679F">
        <w:rPr>
          <w:sz w:val="24"/>
          <w:szCs w:val="24"/>
        </w:rPr>
        <w:t xml:space="preserve">  The ERCOT grid’s average load at these times is referred to as the “ERCOT Average 4-CP” load.</w:t>
      </w:r>
      <w:r w:rsidR="005547D9">
        <w:rPr>
          <w:rStyle w:val="FootnoteReference"/>
          <w:sz w:val="24"/>
          <w:szCs w:val="24"/>
        </w:rPr>
        <w:footnoteReference w:id="20"/>
      </w:r>
      <w:r w:rsidR="000E5940" w:rsidRPr="0042679F">
        <w:rPr>
          <w:sz w:val="24"/>
          <w:szCs w:val="24"/>
        </w:rPr>
        <w:t xml:space="preserve">   A wholesale customer’s load coincident with the ERCOT Average 4-CP load is referred to a</w:t>
      </w:r>
      <w:r w:rsidR="0005527A">
        <w:rPr>
          <w:sz w:val="24"/>
          <w:szCs w:val="24"/>
        </w:rPr>
        <w:t xml:space="preserve">s its “DSP Average 4-CP” load. </w:t>
      </w:r>
    </w:p>
    <w:p w:rsidR="000E5940" w:rsidRPr="0042679F" w:rsidRDefault="000E5940" w:rsidP="0042679F">
      <w:pPr>
        <w:spacing w:line="480" w:lineRule="auto"/>
        <w:ind w:left="720" w:firstLine="720"/>
        <w:jc w:val="both"/>
        <w:rPr>
          <w:sz w:val="24"/>
          <w:szCs w:val="24"/>
        </w:rPr>
      </w:pPr>
      <w:r w:rsidRPr="0042679F">
        <w:rPr>
          <w:sz w:val="24"/>
          <w:szCs w:val="24"/>
        </w:rPr>
        <w:t xml:space="preserve">Summer peak loads are used to assess </w:t>
      </w:r>
      <w:r w:rsidR="00957068">
        <w:rPr>
          <w:sz w:val="24"/>
          <w:szCs w:val="24"/>
        </w:rPr>
        <w:t xml:space="preserve">transmission </w:t>
      </w:r>
      <w:r w:rsidRPr="0042679F">
        <w:rPr>
          <w:sz w:val="24"/>
          <w:szCs w:val="24"/>
        </w:rPr>
        <w:t>charges b</w:t>
      </w:r>
      <w:r w:rsidR="00957068">
        <w:rPr>
          <w:sz w:val="24"/>
          <w:szCs w:val="24"/>
        </w:rPr>
        <w:t>ecause the ERCOT grid is summer-</w:t>
      </w:r>
      <w:r w:rsidRPr="0042679F">
        <w:rPr>
          <w:sz w:val="24"/>
          <w:szCs w:val="24"/>
        </w:rPr>
        <w:t xml:space="preserve">peaking.  Summer peak loads drive the need for transmission capacity on the grid.  The use of summer peak loads to assess charges is therefore a rate design that is consistent with cost causation, a ratemaking principle discussed </w:t>
      </w:r>
      <w:r w:rsidR="003F70D4">
        <w:rPr>
          <w:sz w:val="24"/>
          <w:szCs w:val="24"/>
        </w:rPr>
        <w:t xml:space="preserve">further below. </w:t>
      </w:r>
    </w:p>
    <w:p w:rsidR="000E5940" w:rsidRPr="0042679F"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t xml:space="preserve">Above, you mentioned that Oncor is a wholesale customer of the grid.  What about </w:t>
      </w:r>
      <w:r w:rsidR="00C8262C">
        <w:rPr>
          <w:b/>
          <w:sz w:val="24"/>
          <w:szCs w:val="24"/>
        </w:rPr>
        <w:t>CEHE</w:t>
      </w:r>
      <w:r w:rsidRPr="0042679F">
        <w:rPr>
          <w:b/>
          <w:sz w:val="24"/>
          <w:szCs w:val="24"/>
        </w:rPr>
        <w:t>?</w:t>
      </w:r>
    </w:p>
    <w:p w:rsidR="000E5940" w:rsidRPr="0042679F" w:rsidRDefault="000E5940" w:rsidP="0042679F">
      <w:pPr>
        <w:spacing w:line="480" w:lineRule="auto"/>
        <w:ind w:left="720" w:hanging="720"/>
        <w:jc w:val="both"/>
        <w:rPr>
          <w:sz w:val="24"/>
          <w:szCs w:val="24"/>
        </w:rPr>
      </w:pPr>
      <w:r w:rsidRPr="0042679F">
        <w:rPr>
          <w:sz w:val="24"/>
          <w:szCs w:val="24"/>
        </w:rPr>
        <w:t>A.</w:t>
      </w:r>
      <w:r w:rsidRPr="0042679F">
        <w:rPr>
          <w:sz w:val="24"/>
          <w:szCs w:val="24"/>
        </w:rPr>
        <w:tab/>
        <w:t xml:space="preserve">Yes.  </w:t>
      </w:r>
      <w:r w:rsidR="00D87CCB">
        <w:rPr>
          <w:sz w:val="24"/>
          <w:szCs w:val="24"/>
        </w:rPr>
        <w:t>CEHE</w:t>
      </w:r>
      <w:r w:rsidRPr="0042679F">
        <w:rPr>
          <w:sz w:val="24"/>
          <w:szCs w:val="24"/>
        </w:rPr>
        <w:t xml:space="preserve"> is also a load serving entity </w:t>
      </w:r>
      <w:r w:rsidR="00AC7029">
        <w:rPr>
          <w:sz w:val="24"/>
          <w:szCs w:val="24"/>
        </w:rPr>
        <w:t xml:space="preserve">while </w:t>
      </w:r>
      <w:r w:rsidRPr="0042679F">
        <w:rPr>
          <w:sz w:val="24"/>
          <w:szCs w:val="24"/>
        </w:rPr>
        <w:t>acting in its role as a distribution service provider</w:t>
      </w:r>
      <w:r w:rsidR="00F90F6D">
        <w:rPr>
          <w:sz w:val="24"/>
          <w:szCs w:val="24"/>
        </w:rPr>
        <w:t xml:space="preserve"> (“DSP”)</w:t>
      </w:r>
      <w:r w:rsidRPr="0042679F">
        <w:rPr>
          <w:sz w:val="24"/>
          <w:szCs w:val="24"/>
        </w:rPr>
        <w:t>.</w:t>
      </w:r>
      <w:r w:rsidR="00443741">
        <w:rPr>
          <w:rStyle w:val="FootnoteReference"/>
          <w:sz w:val="24"/>
          <w:szCs w:val="24"/>
        </w:rPr>
        <w:footnoteReference w:id="21"/>
      </w:r>
      <w:r w:rsidRPr="0042679F">
        <w:rPr>
          <w:sz w:val="24"/>
          <w:szCs w:val="24"/>
        </w:rPr>
        <w:t xml:space="preserve">  The Company receives power from the ERCOT transmission grid, distributes </w:t>
      </w:r>
      <w:r w:rsidR="006671DB">
        <w:rPr>
          <w:sz w:val="24"/>
          <w:szCs w:val="24"/>
        </w:rPr>
        <w:t xml:space="preserve">the </w:t>
      </w:r>
      <w:r w:rsidRPr="0042679F">
        <w:rPr>
          <w:sz w:val="24"/>
          <w:szCs w:val="24"/>
        </w:rPr>
        <w:t xml:space="preserve">power through its distribution system, and delivers </w:t>
      </w:r>
      <w:r w:rsidR="006671DB">
        <w:rPr>
          <w:sz w:val="24"/>
          <w:szCs w:val="24"/>
        </w:rPr>
        <w:t xml:space="preserve">the </w:t>
      </w:r>
      <w:r w:rsidRPr="0042679F">
        <w:rPr>
          <w:sz w:val="24"/>
          <w:szCs w:val="24"/>
        </w:rPr>
        <w:t>power t</w:t>
      </w:r>
      <w:r w:rsidR="00316D83">
        <w:rPr>
          <w:sz w:val="24"/>
          <w:szCs w:val="24"/>
        </w:rPr>
        <w:t xml:space="preserve">o its end-use retail </w:t>
      </w:r>
      <w:r w:rsidR="007C3996">
        <w:rPr>
          <w:sz w:val="24"/>
          <w:szCs w:val="24"/>
        </w:rPr>
        <w:t xml:space="preserve">delivery </w:t>
      </w:r>
      <w:r w:rsidR="00316D83">
        <w:rPr>
          <w:sz w:val="24"/>
          <w:szCs w:val="24"/>
        </w:rPr>
        <w:t xml:space="preserve">customers.  </w:t>
      </w:r>
      <w:r w:rsidR="006426A0" w:rsidRPr="0042679F">
        <w:rPr>
          <w:sz w:val="24"/>
          <w:szCs w:val="24"/>
        </w:rPr>
        <w:t xml:space="preserve">The </w:t>
      </w:r>
      <w:r w:rsidR="006426A0">
        <w:rPr>
          <w:sz w:val="24"/>
          <w:szCs w:val="24"/>
        </w:rPr>
        <w:t>wholesale transmission charges</w:t>
      </w:r>
      <w:r w:rsidR="006426A0" w:rsidRPr="0042679F">
        <w:rPr>
          <w:sz w:val="24"/>
          <w:szCs w:val="24"/>
        </w:rPr>
        <w:t xml:space="preserve"> </w:t>
      </w:r>
      <w:r w:rsidR="006426A0">
        <w:rPr>
          <w:sz w:val="24"/>
          <w:szCs w:val="24"/>
        </w:rPr>
        <w:lastRenderedPageBreak/>
        <w:t xml:space="preserve">the Company incurs as a DSP </w:t>
      </w:r>
      <w:r w:rsidR="006426A0" w:rsidRPr="0042679F">
        <w:rPr>
          <w:sz w:val="24"/>
          <w:szCs w:val="24"/>
        </w:rPr>
        <w:t>must be assessed to and colle</w:t>
      </w:r>
      <w:r w:rsidR="006426A0">
        <w:rPr>
          <w:sz w:val="24"/>
          <w:szCs w:val="24"/>
        </w:rPr>
        <w:t>cted from its retail customers.</w:t>
      </w:r>
    </w:p>
    <w:p w:rsidR="000E5940" w:rsidRPr="0042679F"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t xml:space="preserve">What share of </w:t>
      </w:r>
      <w:r w:rsidR="004A2BE1">
        <w:rPr>
          <w:b/>
          <w:sz w:val="24"/>
          <w:szCs w:val="24"/>
        </w:rPr>
        <w:t>total payments</w:t>
      </w:r>
      <w:r w:rsidRPr="0042679F">
        <w:rPr>
          <w:b/>
          <w:sz w:val="24"/>
          <w:szCs w:val="24"/>
        </w:rPr>
        <w:t xml:space="preserve"> </w:t>
      </w:r>
      <w:r w:rsidR="004A2BE1">
        <w:rPr>
          <w:b/>
          <w:sz w:val="24"/>
          <w:szCs w:val="24"/>
        </w:rPr>
        <w:t xml:space="preserve">for wholesale transmission service in ERCOT </w:t>
      </w:r>
      <w:r w:rsidRPr="0042679F">
        <w:rPr>
          <w:b/>
          <w:sz w:val="24"/>
          <w:szCs w:val="24"/>
        </w:rPr>
        <w:t xml:space="preserve">were assigned to </w:t>
      </w:r>
      <w:r w:rsidR="00C8262C">
        <w:rPr>
          <w:b/>
          <w:sz w:val="24"/>
          <w:szCs w:val="24"/>
        </w:rPr>
        <w:t>CEHE</w:t>
      </w:r>
      <w:r w:rsidRPr="0042679F">
        <w:rPr>
          <w:b/>
          <w:sz w:val="24"/>
          <w:szCs w:val="24"/>
        </w:rPr>
        <w:t xml:space="preserve"> (acting </w:t>
      </w:r>
      <w:r w:rsidR="006671DB">
        <w:rPr>
          <w:b/>
          <w:sz w:val="24"/>
          <w:szCs w:val="24"/>
        </w:rPr>
        <w:t xml:space="preserve">in its role </w:t>
      </w:r>
      <w:r w:rsidRPr="0042679F">
        <w:rPr>
          <w:b/>
          <w:sz w:val="24"/>
          <w:szCs w:val="24"/>
        </w:rPr>
        <w:t xml:space="preserve">as a DSP) in Docket No. 48928, to be paid by </w:t>
      </w:r>
      <w:r w:rsidR="00D87CCB">
        <w:rPr>
          <w:b/>
          <w:sz w:val="24"/>
          <w:szCs w:val="24"/>
        </w:rPr>
        <w:t>the Company</w:t>
      </w:r>
      <w:r w:rsidR="006671DB">
        <w:rPr>
          <w:b/>
          <w:sz w:val="24"/>
          <w:szCs w:val="24"/>
        </w:rPr>
        <w:t>’s retail customers</w:t>
      </w:r>
      <w:r w:rsidRPr="0042679F">
        <w:rPr>
          <w:b/>
          <w:sz w:val="24"/>
          <w:szCs w:val="24"/>
        </w:rPr>
        <w:t>?</w:t>
      </w:r>
    </w:p>
    <w:p w:rsidR="000E5940" w:rsidRPr="0042679F" w:rsidRDefault="000E5940" w:rsidP="0042679F">
      <w:pPr>
        <w:spacing w:line="480" w:lineRule="auto"/>
        <w:ind w:left="720" w:hanging="720"/>
        <w:jc w:val="both"/>
        <w:rPr>
          <w:sz w:val="24"/>
          <w:szCs w:val="24"/>
        </w:rPr>
      </w:pPr>
      <w:r w:rsidRPr="0042679F">
        <w:rPr>
          <w:sz w:val="24"/>
          <w:szCs w:val="24"/>
        </w:rPr>
        <w:t>A.</w:t>
      </w:r>
      <w:r w:rsidRPr="0042679F">
        <w:rPr>
          <w:sz w:val="24"/>
          <w:szCs w:val="24"/>
        </w:rPr>
        <w:tab/>
      </w:r>
      <w:r w:rsidR="00F227F4">
        <w:rPr>
          <w:sz w:val="24"/>
          <w:szCs w:val="24"/>
        </w:rPr>
        <w:t xml:space="preserve">The share assigned to </w:t>
      </w:r>
      <w:r w:rsidR="00C8262C">
        <w:rPr>
          <w:sz w:val="24"/>
          <w:szCs w:val="24"/>
        </w:rPr>
        <w:t>CEHE</w:t>
      </w:r>
      <w:r w:rsidR="00F227F4">
        <w:rPr>
          <w:sz w:val="24"/>
          <w:szCs w:val="24"/>
        </w:rPr>
        <w:t xml:space="preserve"> was </w:t>
      </w:r>
      <w:r w:rsidRPr="0042679F">
        <w:rPr>
          <w:sz w:val="24"/>
          <w:szCs w:val="24"/>
        </w:rPr>
        <w:t xml:space="preserve">24.97%, calculated as </w:t>
      </w:r>
      <w:r w:rsidR="00D87CCB">
        <w:rPr>
          <w:sz w:val="24"/>
          <w:szCs w:val="24"/>
        </w:rPr>
        <w:t>the Company</w:t>
      </w:r>
      <w:r w:rsidRPr="0042679F">
        <w:rPr>
          <w:sz w:val="24"/>
          <w:szCs w:val="24"/>
        </w:rPr>
        <w:t>’s DSP Average 4-CP load of 17,323.4 MW divided by ERCOT Average 4-CP load of 69,369.0 MW.</w:t>
      </w:r>
      <w:r w:rsidR="005547D9">
        <w:rPr>
          <w:rStyle w:val="FootnoteReference"/>
          <w:sz w:val="24"/>
          <w:szCs w:val="24"/>
        </w:rPr>
        <w:footnoteReference w:id="22"/>
      </w:r>
    </w:p>
    <w:p w:rsidR="000E5940" w:rsidRPr="0042679F" w:rsidRDefault="0048448A" w:rsidP="0042679F">
      <w:pPr>
        <w:spacing w:line="480" w:lineRule="auto"/>
        <w:ind w:left="720" w:hanging="720"/>
        <w:jc w:val="both"/>
        <w:rPr>
          <w:b/>
          <w:sz w:val="24"/>
          <w:szCs w:val="24"/>
        </w:rPr>
      </w:pPr>
      <w:r>
        <w:rPr>
          <w:b/>
          <w:sz w:val="24"/>
          <w:szCs w:val="24"/>
        </w:rPr>
        <w:t>Q.</w:t>
      </w:r>
      <w:r>
        <w:rPr>
          <w:b/>
          <w:sz w:val="24"/>
          <w:szCs w:val="24"/>
        </w:rPr>
        <w:tab/>
        <w:t xml:space="preserve">Where do the wholesale transmission charges incurred by </w:t>
      </w:r>
      <w:r w:rsidR="00C8262C">
        <w:rPr>
          <w:b/>
          <w:sz w:val="24"/>
          <w:szCs w:val="24"/>
        </w:rPr>
        <w:t>CEHE</w:t>
      </w:r>
      <w:r w:rsidR="000E5940" w:rsidRPr="0042679F">
        <w:rPr>
          <w:b/>
          <w:sz w:val="24"/>
          <w:szCs w:val="24"/>
        </w:rPr>
        <w:t xml:space="preserve"> </w:t>
      </w:r>
      <w:r>
        <w:rPr>
          <w:b/>
          <w:sz w:val="24"/>
          <w:szCs w:val="24"/>
        </w:rPr>
        <w:t xml:space="preserve">as a DSP </w:t>
      </w:r>
      <w:r w:rsidR="000E5940" w:rsidRPr="0042679F">
        <w:rPr>
          <w:b/>
          <w:sz w:val="24"/>
          <w:szCs w:val="24"/>
        </w:rPr>
        <w:t>appear in the cost study in this proceeding?</w:t>
      </w:r>
    </w:p>
    <w:p w:rsidR="000E5940" w:rsidRPr="0042679F" w:rsidRDefault="000E5940" w:rsidP="0042679F">
      <w:pPr>
        <w:spacing w:line="480" w:lineRule="auto"/>
        <w:ind w:left="720" w:hanging="720"/>
        <w:jc w:val="both"/>
        <w:rPr>
          <w:sz w:val="24"/>
          <w:szCs w:val="24"/>
        </w:rPr>
      </w:pPr>
      <w:r w:rsidRPr="0042679F">
        <w:rPr>
          <w:sz w:val="24"/>
          <w:szCs w:val="24"/>
        </w:rPr>
        <w:t>A.</w:t>
      </w:r>
      <w:r w:rsidRPr="0042679F">
        <w:rPr>
          <w:sz w:val="24"/>
          <w:szCs w:val="24"/>
        </w:rPr>
        <w:tab/>
      </w:r>
      <w:r w:rsidR="007B196E">
        <w:rPr>
          <w:sz w:val="24"/>
          <w:szCs w:val="24"/>
        </w:rPr>
        <w:t xml:space="preserve">The Company’s </w:t>
      </w:r>
      <w:r w:rsidR="00030373">
        <w:rPr>
          <w:sz w:val="24"/>
          <w:szCs w:val="24"/>
        </w:rPr>
        <w:t xml:space="preserve">requested </w:t>
      </w:r>
      <w:r w:rsidR="001B1F7F">
        <w:rPr>
          <w:sz w:val="24"/>
          <w:szCs w:val="24"/>
        </w:rPr>
        <w:t>ERCOT transmission payment</w:t>
      </w:r>
      <w:r w:rsidR="00DF6C69">
        <w:rPr>
          <w:sz w:val="24"/>
          <w:szCs w:val="24"/>
        </w:rPr>
        <w:t>s</w:t>
      </w:r>
      <w:r w:rsidR="001B1F7F">
        <w:rPr>
          <w:sz w:val="24"/>
          <w:szCs w:val="24"/>
        </w:rPr>
        <w:t xml:space="preserve"> </w:t>
      </w:r>
      <w:r w:rsidR="007B196E">
        <w:rPr>
          <w:sz w:val="24"/>
          <w:szCs w:val="24"/>
        </w:rPr>
        <w:t xml:space="preserve">in the amount of </w:t>
      </w:r>
      <w:r w:rsidR="001B1F7F" w:rsidRPr="001B1F7F">
        <w:rPr>
          <w:sz w:val="24"/>
          <w:szCs w:val="24"/>
        </w:rPr>
        <w:t>$942,402,945</w:t>
      </w:r>
      <w:r w:rsidR="001B1F7F">
        <w:rPr>
          <w:sz w:val="24"/>
          <w:szCs w:val="24"/>
        </w:rPr>
        <w:t xml:space="preserve"> can be found in Schedule III-A TCOS Calculation.</w:t>
      </w:r>
      <w:r w:rsidR="00D93A6B">
        <w:rPr>
          <w:rStyle w:val="FootnoteReference"/>
          <w:sz w:val="24"/>
          <w:szCs w:val="24"/>
        </w:rPr>
        <w:footnoteReference w:id="23"/>
      </w:r>
      <w:r w:rsidR="001B1F7F">
        <w:rPr>
          <w:sz w:val="24"/>
          <w:szCs w:val="24"/>
        </w:rPr>
        <w:t xml:space="preserve">  </w:t>
      </w:r>
      <w:r w:rsidR="00DF6C69">
        <w:rPr>
          <w:sz w:val="24"/>
          <w:szCs w:val="24"/>
        </w:rPr>
        <w:t xml:space="preserve">As presented by </w:t>
      </w:r>
      <w:r w:rsidR="00C8262C">
        <w:rPr>
          <w:sz w:val="24"/>
          <w:szCs w:val="24"/>
        </w:rPr>
        <w:t>CEHE</w:t>
      </w:r>
      <w:r w:rsidR="00DF6C69">
        <w:rPr>
          <w:sz w:val="24"/>
          <w:szCs w:val="24"/>
        </w:rPr>
        <w:t>, t</w:t>
      </w:r>
      <w:r w:rsidR="00D93A6B">
        <w:rPr>
          <w:sz w:val="24"/>
          <w:szCs w:val="24"/>
        </w:rPr>
        <w:t xml:space="preserve">he </w:t>
      </w:r>
      <w:r w:rsidR="00DF6C69">
        <w:rPr>
          <w:sz w:val="24"/>
          <w:szCs w:val="24"/>
        </w:rPr>
        <w:t xml:space="preserve">ERCOT transmission payments </w:t>
      </w:r>
      <w:r w:rsidR="00D93A6B">
        <w:rPr>
          <w:sz w:val="24"/>
          <w:szCs w:val="24"/>
        </w:rPr>
        <w:t xml:space="preserve">shown in the </w:t>
      </w:r>
      <w:r w:rsidR="00E7408C">
        <w:rPr>
          <w:sz w:val="24"/>
          <w:szCs w:val="24"/>
        </w:rPr>
        <w:t xml:space="preserve">functional separation of costs </w:t>
      </w:r>
      <w:r w:rsidR="00C42C6A">
        <w:rPr>
          <w:sz w:val="24"/>
          <w:szCs w:val="24"/>
        </w:rPr>
        <w:t>are</w:t>
      </w:r>
      <w:r w:rsidR="00E7408C">
        <w:rPr>
          <w:sz w:val="24"/>
          <w:szCs w:val="24"/>
        </w:rPr>
        <w:t xml:space="preserve"> </w:t>
      </w:r>
      <w:r w:rsidR="00D93A6B">
        <w:rPr>
          <w:sz w:val="24"/>
          <w:szCs w:val="24"/>
        </w:rPr>
        <w:t>s</w:t>
      </w:r>
      <w:r w:rsidR="00E7408C">
        <w:rPr>
          <w:sz w:val="24"/>
          <w:szCs w:val="24"/>
        </w:rPr>
        <w:t xml:space="preserve">tated net of wholesale revenues </w:t>
      </w:r>
      <w:r w:rsidR="00DF6C69">
        <w:rPr>
          <w:sz w:val="24"/>
          <w:szCs w:val="24"/>
        </w:rPr>
        <w:t>the Company receives as a TSP;</w:t>
      </w:r>
      <w:r w:rsidR="00FF789F">
        <w:rPr>
          <w:sz w:val="24"/>
          <w:szCs w:val="24"/>
        </w:rPr>
        <w:t xml:space="preserve"> </w:t>
      </w:r>
      <w:r w:rsidR="00E7408C">
        <w:rPr>
          <w:sz w:val="24"/>
          <w:szCs w:val="24"/>
        </w:rPr>
        <w:t>and</w:t>
      </w:r>
      <w:r w:rsidR="00DF6C69">
        <w:rPr>
          <w:sz w:val="24"/>
          <w:szCs w:val="24"/>
        </w:rPr>
        <w:t>,</w:t>
      </w:r>
      <w:r w:rsidR="00D93A6B">
        <w:rPr>
          <w:sz w:val="24"/>
          <w:szCs w:val="24"/>
        </w:rPr>
        <w:t xml:space="preserve"> is included in </w:t>
      </w:r>
      <w:r w:rsidR="00F336BE">
        <w:rPr>
          <w:sz w:val="24"/>
          <w:szCs w:val="24"/>
        </w:rPr>
        <w:t xml:space="preserve">FERC </w:t>
      </w:r>
      <w:r w:rsidR="006D58B4">
        <w:rPr>
          <w:sz w:val="24"/>
          <w:szCs w:val="24"/>
        </w:rPr>
        <w:t>A</w:t>
      </w:r>
      <w:r w:rsidRPr="0042679F">
        <w:rPr>
          <w:sz w:val="24"/>
          <w:szCs w:val="24"/>
        </w:rPr>
        <w:t xml:space="preserve">ccount 565, </w:t>
      </w:r>
      <w:r w:rsidR="00EA5141">
        <w:rPr>
          <w:sz w:val="24"/>
          <w:szCs w:val="24"/>
        </w:rPr>
        <w:t xml:space="preserve">the generic description of </w:t>
      </w:r>
      <w:r w:rsidR="00EA5141">
        <w:rPr>
          <w:sz w:val="24"/>
          <w:szCs w:val="24"/>
        </w:rPr>
        <w:lastRenderedPageBreak/>
        <w:t>which is “</w:t>
      </w:r>
      <w:r w:rsidRPr="0042679F">
        <w:rPr>
          <w:sz w:val="24"/>
          <w:szCs w:val="24"/>
        </w:rPr>
        <w:t>transmission of electricity by others.</w:t>
      </w:r>
      <w:r w:rsidR="00EA5141">
        <w:rPr>
          <w:sz w:val="24"/>
          <w:szCs w:val="24"/>
        </w:rPr>
        <w:t>”</w:t>
      </w:r>
      <w:r w:rsidR="00AE6CED">
        <w:rPr>
          <w:rStyle w:val="FootnoteReference"/>
          <w:sz w:val="24"/>
          <w:szCs w:val="24"/>
        </w:rPr>
        <w:footnoteReference w:id="24"/>
      </w:r>
      <w:r w:rsidRPr="0042679F">
        <w:rPr>
          <w:sz w:val="24"/>
          <w:szCs w:val="24"/>
        </w:rPr>
        <w:t xml:space="preserve">  In the functionalization of costs</w:t>
      </w:r>
      <w:r w:rsidR="00DF6C69">
        <w:rPr>
          <w:sz w:val="24"/>
          <w:szCs w:val="24"/>
        </w:rPr>
        <w:t xml:space="preserve"> as presented by </w:t>
      </w:r>
      <w:r w:rsidR="00C8262C">
        <w:rPr>
          <w:sz w:val="24"/>
          <w:szCs w:val="24"/>
        </w:rPr>
        <w:t>CEHE</w:t>
      </w:r>
      <w:r w:rsidRPr="0042679F">
        <w:rPr>
          <w:sz w:val="24"/>
          <w:szCs w:val="24"/>
        </w:rPr>
        <w:t xml:space="preserve">, </w:t>
      </w:r>
      <w:r w:rsidR="00DA3412">
        <w:rPr>
          <w:sz w:val="24"/>
          <w:szCs w:val="24"/>
        </w:rPr>
        <w:t xml:space="preserve">net ERCOT transmission payments </w:t>
      </w:r>
      <w:r w:rsidRPr="0042679F">
        <w:rPr>
          <w:sz w:val="24"/>
          <w:szCs w:val="24"/>
        </w:rPr>
        <w:t xml:space="preserve">are assigned to the transmission function.  However, </w:t>
      </w:r>
      <w:r w:rsidR="00D87CCB">
        <w:rPr>
          <w:sz w:val="24"/>
          <w:szCs w:val="24"/>
        </w:rPr>
        <w:t>the Company</w:t>
      </w:r>
      <w:r w:rsidR="00DA3412">
        <w:rPr>
          <w:sz w:val="24"/>
          <w:szCs w:val="24"/>
        </w:rPr>
        <w:t xml:space="preserve">’s total </w:t>
      </w:r>
      <w:r w:rsidR="00FF789F">
        <w:rPr>
          <w:sz w:val="24"/>
          <w:szCs w:val="24"/>
        </w:rPr>
        <w:t>wholesale transmission charges</w:t>
      </w:r>
      <w:r w:rsidRPr="0042679F">
        <w:rPr>
          <w:sz w:val="24"/>
          <w:szCs w:val="24"/>
        </w:rPr>
        <w:t xml:space="preserve"> are the responsibility of </w:t>
      </w:r>
      <w:r w:rsidR="00C8262C">
        <w:rPr>
          <w:sz w:val="24"/>
          <w:szCs w:val="24"/>
        </w:rPr>
        <w:t>CEHE</w:t>
      </w:r>
      <w:r w:rsidRPr="0042679F">
        <w:rPr>
          <w:sz w:val="24"/>
          <w:szCs w:val="24"/>
        </w:rPr>
        <w:t xml:space="preserve"> </w:t>
      </w:r>
      <w:r w:rsidR="00E56BBC">
        <w:rPr>
          <w:sz w:val="24"/>
          <w:szCs w:val="24"/>
        </w:rPr>
        <w:t xml:space="preserve">acting </w:t>
      </w:r>
      <w:r w:rsidRPr="0042679F">
        <w:rPr>
          <w:sz w:val="24"/>
          <w:szCs w:val="24"/>
        </w:rPr>
        <w:t xml:space="preserve">in its role as </w:t>
      </w:r>
      <w:r w:rsidR="00AC7029">
        <w:rPr>
          <w:sz w:val="24"/>
          <w:szCs w:val="24"/>
        </w:rPr>
        <w:t>DSP</w:t>
      </w:r>
      <w:r w:rsidRPr="0042679F">
        <w:rPr>
          <w:sz w:val="24"/>
          <w:szCs w:val="24"/>
        </w:rPr>
        <w:t xml:space="preserve">; are included in the cost of service for each </w:t>
      </w:r>
      <w:r w:rsidR="00FF789F">
        <w:rPr>
          <w:sz w:val="24"/>
          <w:szCs w:val="24"/>
        </w:rPr>
        <w:t xml:space="preserve">retail </w:t>
      </w:r>
      <w:r w:rsidRPr="0042679F">
        <w:rPr>
          <w:sz w:val="24"/>
          <w:szCs w:val="24"/>
        </w:rPr>
        <w:t xml:space="preserve">class; and, are shown under each </w:t>
      </w:r>
      <w:r w:rsidR="006F4759">
        <w:rPr>
          <w:sz w:val="24"/>
          <w:szCs w:val="24"/>
        </w:rPr>
        <w:t xml:space="preserve">retail </w:t>
      </w:r>
      <w:r w:rsidRPr="0042679F">
        <w:rPr>
          <w:sz w:val="24"/>
          <w:szCs w:val="24"/>
        </w:rPr>
        <w:t xml:space="preserve">class’s </w:t>
      </w:r>
      <w:r w:rsidR="006F4759">
        <w:rPr>
          <w:sz w:val="24"/>
          <w:szCs w:val="24"/>
        </w:rPr>
        <w:t xml:space="preserve">rate </w:t>
      </w:r>
      <w:r w:rsidRPr="0042679F">
        <w:rPr>
          <w:sz w:val="24"/>
          <w:szCs w:val="24"/>
        </w:rPr>
        <w:t>schedule as “transmission system charges.</w:t>
      </w:r>
      <w:r w:rsidR="00F46910">
        <w:rPr>
          <w:sz w:val="24"/>
          <w:szCs w:val="24"/>
        </w:rPr>
        <w:t>”</w:t>
      </w:r>
      <w:r w:rsidR="00F46910">
        <w:rPr>
          <w:rStyle w:val="FootnoteReference"/>
          <w:sz w:val="24"/>
          <w:szCs w:val="24"/>
        </w:rPr>
        <w:footnoteReference w:id="25"/>
      </w:r>
    </w:p>
    <w:p w:rsidR="000E5940" w:rsidRPr="0042679F" w:rsidRDefault="000E5940" w:rsidP="0042679F">
      <w:pPr>
        <w:spacing w:line="480" w:lineRule="auto"/>
        <w:ind w:left="720" w:hanging="720"/>
        <w:jc w:val="both"/>
        <w:rPr>
          <w:b/>
          <w:sz w:val="24"/>
          <w:szCs w:val="24"/>
        </w:rPr>
      </w:pPr>
      <w:r w:rsidRPr="0042679F">
        <w:rPr>
          <w:b/>
          <w:sz w:val="24"/>
          <w:szCs w:val="24"/>
        </w:rPr>
        <w:t>Q.</w:t>
      </w:r>
      <w:r w:rsidRPr="0042679F">
        <w:rPr>
          <w:b/>
          <w:sz w:val="24"/>
          <w:szCs w:val="24"/>
        </w:rPr>
        <w:tab/>
      </w:r>
      <w:r w:rsidR="00F336BE">
        <w:rPr>
          <w:b/>
          <w:sz w:val="24"/>
          <w:szCs w:val="24"/>
        </w:rPr>
        <w:t>Returning to the functional separation of costs in the cost study</w:t>
      </w:r>
      <w:r w:rsidRPr="0042679F">
        <w:rPr>
          <w:b/>
          <w:sz w:val="24"/>
          <w:szCs w:val="24"/>
        </w:rPr>
        <w:t>, which business functions’ costs are included in the retail cost of service?</w:t>
      </w:r>
    </w:p>
    <w:p w:rsidR="000E5940" w:rsidRPr="0042679F" w:rsidRDefault="000E5940" w:rsidP="005C48F3">
      <w:pPr>
        <w:spacing w:line="480" w:lineRule="auto"/>
        <w:ind w:left="720" w:hanging="720"/>
        <w:jc w:val="both"/>
        <w:rPr>
          <w:sz w:val="24"/>
          <w:szCs w:val="24"/>
        </w:rPr>
      </w:pPr>
      <w:r w:rsidRPr="0042679F">
        <w:rPr>
          <w:sz w:val="24"/>
          <w:szCs w:val="24"/>
        </w:rPr>
        <w:t>A.</w:t>
      </w:r>
      <w:r w:rsidRPr="0042679F">
        <w:rPr>
          <w:sz w:val="24"/>
          <w:szCs w:val="24"/>
        </w:rPr>
        <w:tab/>
      </w:r>
      <w:r w:rsidR="007B7756">
        <w:rPr>
          <w:sz w:val="24"/>
          <w:szCs w:val="24"/>
        </w:rPr>
        <w:t>C</w:t>
      </w:r>
      <w:r w:rsidRPr="0042679F">
        <w:rPr>
          <w:sz w:val="24"/>
          <w:szCs w:val="24"/>
        </w:rPr>
        <w:t xml:space="preserve">osts assigned to the </w:t>
      </w:r>
      <w:r w:rsidR="006F4759">
        <w:rPr>
          <w:sz w:val="24"/>
          <w:szCs w:val="24"/>
        </w:rPr>
        <w:t xml:space="preserve">transmission, </w:t>
      </w:r>
      <w:r w:rsidRPr="0042679F">
        <w:rPr>
          <w:sz w:val="24"/>
          <w:szCs w:val="24"/>
        </w:rPr>
        <w:t>distribution,</w:t>
      </w:r>
      <w:r w:rsidR="00902F9B">
        <w:rPr>
          <w:rStyle w:val="FootnoteReference"/>
          <w:sz w:val="24"/>
          <w:szCs w:val="24"/>
        </w:rPr>
        <w:footnoteReference w:id="26"/>
      </w:r>
      <w:r w:rsidRPr="0042679F">
        <w:rPr>
          <w:sz w:val="24"/>
          <w:szCs w:val="24"/>
        </w:rPr>
        <w:t xml:space="preserve"> metering,</w:t>
      </w:r>
      <w:r w:rsidR="00902F9B">
        <w:rPr>
          <w:rStyle w:val="FootnoteReference"/>
          <w:sz w:val="24"/>
          <w:szCs w:val="24"/>
        </w:rPr>
        <w:footnoteReference w:id="27"/>
      </w:r>
      <w:r w:rsidRPr="0042679F">
        <w:rPr>
          <w:sz w:val="24"/>
          <w:szCs w:val="24"/>
        </w:rPr>
        <w:t xml:space="preserve"> and customer service</w:t>
      </w:r>
      <w:r w:rsidR="005B7AB3">
        <w:rPr>
          <w:rStyle w:val="FootnoteReference"/>
          <w:sz w:val="24"/>
          <w:szCs w:val="24"/>
        </w:rPr>
        <w:footnoteReference w:id="28"/>
      </w:r>
      <w:r w:rsidRPr="0042679F">
        <w:rPr>
          <w:sz w:val="24"/>
          <w:szCs w:val="24"/>
        </w:rPr>
        <w:t xml:space="preserve"> functions.  As </w:t>
      </w:r>
      <w:r w:rsidR="00D94CA8">
        <w:rPr>
          <w:sz w:val="24"/>
          <w:szCs w:val="24"/>
        </w:rPr>
        <w:t xml:space="preserve">shown above in </w:t>
      </w:r>
      <w:r w:rsidR="00D94CA8" w:rsidRPr="00EA5BB8">
        <w:rPr>
          <w:sz w:val="24"/>
          <w:szCs w:val="24"/>
        </w:rPr>
        <w:t xml:space="preserve">Figure </w:t>
      </w:r>
      <w:r w:rsidR="00F35B29" w:rsidRPr="00EA5BB8">
        <w:rPr>
          <w:sz w:val="24"/>
          <w:szCs w:val="24"/>
        </w:rPr>
        <w:t>BTM-</w:t>
      </w:r>
      <w:r w:rsidR="00EA5BB8" w:rsidRPr="00EA5BB8">
        <w:rPr>
          <w:sz w:val="24"/>
          <w:szCs w:val="24"/>
        </w:rPr>
        <w:t>1</w:t>
      </w:r>
      <w:r w:rsidRPr="00EA5BB8">
        <w:rPr>
          <w:sz w:val="24"/>
          <w:szCs w:val="24"/>
        </w:rPr>
        <w:t xml:space="preserve">, </w:t>
      </w:r>
      <w:r w:rsidR="006F4759" w:rsidRPr="00EA5BB8">
        <w:rPr>
          <w:sz w:val="24"/>
          <w:szCs w:val="24"/>
        </w:rPr>
        <w:t>the transmission</w:t>
      </w:r>
      <w:r w:rsidR="006F4759">
        <w:rPr>
          <w:sz w:val="24"/>
          <w:szCs w:val="24"/>
        </w:rPr>
        <w:t xml:space="preserve"> function </w:t>
      </w:r>
      <w:r w:rsidRPr="00B70F55">
        <w:rPr>
          <w:sz w:val="24"/>
          <w:szCs w:val="24"/>
        </w:rPr>
        <w:t xml:space="preserve">includes </w:t>
      </w:r>
      <w:r w:rsidR="006F4759">
        <w:rPr>
          <w:sz w:val="24"/>
          <w:szCs w:val="24"/>
        </w:rPr>
        <w:t xml:space="preserve">wholesale transmission charges to </w:t>
      </w:r>
      <w:r w:rsidR="00C8262C">
        <w:rPr>
          <w:sz w:val="24"/>
          <w:szCs w:val="24"/>
        </w:rPr>
        <w:t>CEHE</w:t>
      </w:r>
      <w:r w:rsidR="006F4759">
        <w:rPr>
          <w:sz w:val="24"/>
          <w:szCs w:val="24"/>
        </w:rPr>
        <w:t xml:space="preserve"> as a DSP.</w:t>
      </w:r>
    </w:p>
    <w:p w:rsidR="000B56C2" w:rsidRPr="000B56C2" w:rsidRDefault="000B56C2" w:rsidP="003551CC">
      <w:pPr>
        <w:pStyle w:val="Heading1"/>
        <w:numPr>
          <w:ilvl w:val="0"/>
          <w:numId w:val="1"/>
        </w:numPr>
        <w:spacing w:line="480" w:lineRule="auto"/>
        <w:jc w:val="both"/>
        <w:rPr>
          <w:sz w:val="24"/>
          <w:szCs w:val="24"/>
          <w:u w:val="single"/>
        </w:rPr>
      </w:pPr>
      <w:bookmarkStart w:id="10" w:name="_Toc11215207"/>
      <w:r>
        <w:rPr>
          <w:sz w:val="24"/>
          <w:szCs w:val="24"/>
        </w:rPr>
        <w:lastRenderedPageBreak/>
        <w:t>FUNCTIONALIZATION OF COSTS</w:t>
      </w:r>
      <w:bookmarkEnd w:id="10"/>
    </w:p>
    <w:p w:rsidR="004A6B6A" w:rsidRPr="004B6D96" w:rsidRDefault="004A6B6A" w:rsidP="004A6B6A">
      <w:pPr>
        <w:spacing w:line="480" w:lineRule="auto"/>
        <w:ind w:left="720" w:hanging="720"/>
        <w:jc w:val="both"/>
        <w:rPr>
          <w:b/>
          <w:sz w:val="24"/>
          <w:szCs w:val="24"/>
        </w:rPr>
      </w:pPr>
      <w:r w:rsidRPr="004B6D96">
        <w:rPr>
          <w:b/>
          <w:sz w:val="24"/>
          <w:szCs w:val="24"/>
        </w:rPr>
        <w:t>Q.</w:t>
      </w:r>
      <w:r w:rsidRPr="004B6D96">
        <w:rPr>
          <w:b/>
          <w:sz w:val="24"/>
          <w:szCs w:val="24"/>
        </w:rPr>
        <w:tab/>
        <w:t xml:space="preserve">Does the Filing Package provide a </w:t>
      </w:r>
      <w:r>
        <w:rPr>
          <w:b/>
          <w:sz w:val="24"/>
          <w:szCs w:val="24"/>
        </w:rPr>
        <w:t>process for the</w:t>
      </w:r>
      <w:r w:rsidRPr="004B6D96">
        <w:rPr>
          <w:b/>
          <w:sz w:val="24"/>
          <w:szCs w:val="24"/>
        </w:rPr>
        <w:t xml:space="preserve"> </w:t>
      </w:r>
      <w:r>
        <w:rPr>
          <w:b/>
          <w:sz w:val="24"/>
          <w:szCs w:val="24"/>
        </w:rPr>
        <w:t>functionalization of costs</w:t>
      </w:r>
      <w:r w:rsidRPr="004B6D96">
        <w:rPr>
          <w:b/>
          <w:sz w:val="24"/>
          <w:szCs w:val="24"/>
        </w:rPr>
        <w:t>?</w:t>
      </w:r>
    </w:p>
    <w:p w:rsidR="004A6B6A" w:rsidRDefault="004A6B6A" w:rsidP="004A6B6A">
      <w:pPr>
        <w:spacing w:line="480" w:lineRule="auto"/>
        <w:jc w:val="both"/>
        <w:rPr>
          <w:sz w:val="24"/>
          <w:szCs w:val="24"/>
        </w:rPr>
      </w:pPr>
      <w:r>
        <w:rPr>
          <w:sz w:val="24"/>
          <w:szCs w:val="24"/>
        </w:rPr>
        <w:t>A.</w:t>
      </w:r>
      <w:r>
        <w:rPr>
          <w:sz w:val="24"/>
          <w:szCs w:val="24"/>
        </w:rPr>
        <w:tab/>
        <w:t>Yes.  The Filing Package provides:</w:t>
      </w:r>
    </w:p>
    <w:p w:rsidR="004A6B6A" w:rsidRPr="001E2C73" w:rsidRDefault="004A6B6A" w:rsidP="0073196A">
      <w:pPr>
        <w:ind w:left="1440" w:right="720"/>
        <w:jc w:val="both"/>
        <w:rPr>
          <w:sz w:val="24"/>
          <w:szCs w:val="24"/>
        </w:rPr>
      </w:pPr>
      <w:r w:rsidRPr="001E2C73">
        <w:rPr>
          <w:sz w:val="24"/>
          <w:szCs w:val="24"/>
        </w:rPr>
        <w:t xml:space="preserve">Costs </w:t>
      </w:r>
      <w:r>
        <w:rPr>
          <w:sz w:val="24"/>
          <w:szCs w:val="24"/>
        </w:rPr>
        <w:t xml:space="preserve">… </w:t>
      </w:r>
      <w:r w:rsidRPr="001E2C73">
        <w:rPr>
          <w:sz w:val="24"/>
          <w:szCs w:val="24"/>
        </w:rPr>
        <w:t>shall be assigned to the functions using t</w:t>
      </w:r>
      <w:r>
        <w:rPr>
          <w:sz w:val="24"/>
          <w:szCs w:val="24"/>
        </w:rPr>
        <w:t>he following three-tier process.</w:t>
      </w:r>
    </w:p>
    <w:p w:rsidR="004A6B6A" w:rsidRPr="0073196A" w:rsidRDefault="004A6B6A" w:rsidP="0073196A">
      <w:pPr>
        <w:pStyle w:val="ListParagraph"/>
        <w:numPr>
          <w:ilvl w:val="0"/>
          <w:numId w:val="10"/>
        </w:numPr>
        <w:spacing w:line="240" w:lineRule="auto"/>
        <w:ind w:right="720"/>
        <w:jc w:val="both"/>
        <w:rPr>
          <w:rFonts w:ascii="Times New Roman" w:hAnsi="Times New Roman"/>
          <w:sz w:val="24"/>
          <w:szCs w:val="24"/>
        </w:rPr>
      </w:pPr>
      <w:r w:rsidRPr="0073196A">
        <w:rPr>
          <w:rFonts w:ascii="Times New Roman" w:hAnsi="Times New Roman"/>
          <w:sz w:val="24"/>
          <w:szCs w:val="24"/>
        </w:rPr>
        <w:t>[Direct Assignment] For each FERC account, costs shall be directly assigned to  functions to the extent possible, and all relevant workpapers provided …</w:t>
      </w:r>
    </w:p>
    <w:p w:rsidR="004A6B6A" w:rsidRPr="0073196A" w:rsidRDefault="004A6B6A" w:rsidP="0073196A">
      <w:pPr>
        <w:pStyle w:val="ListParagraph"/>
        <w:numPr>
          <w:ilvl w:val="0"/>
          <w:numId w:val="10"/>
        </w:numPr>
        <w:spacing w:line="240" w:lineRule="auto"/>
        <w:ind w:right="720"/>
        <w:jc w:val="both"/>
        <w:rPr>
          <w:rFonts w:ascii="Times New Roman" w:hAnsi="Times New Roman"/>
          <w:sz w:val="24"/>
          <w:szCs w:val="24"/>
        </w:rPr>
      </w:pPr>
      <w:r w:rsidRPr="0073196A">
        <w:rPr>
          <w:rFonts w:ascii="Times New Roman" w:hAnsi="Times New Roman"/>
          <w:sz w:val="24"/>
          <w:szCs w:val="24"/>
        </w:rPr>
        <w:t>[</w:t>
      </w:r>
      <w:r w:rsidR="00FC0A45">
        <w:rPr>
          <w:rFonts w:ascii="Times New Roman" w:hAnsi="Times New Roman"/>
          <w:sz w:val="24"/>
          <w:szCs w:val="24"/>
        </w:rPr>
        <w:t>Account</w:t>
      </w:r>
      <w:r w:rsidRPr="0073196A">
        <w:rPr>
          <w:rFonts w:ascii="Times New Roman" w:hAnsi="Times New Roman"/>
          <w:sz w:val="24"/>
          <w:szCs w:val="24"/>
        </w:rPr>
        <w:t>-Specific] The utility sh</w:t>
      </w:r>
      <w:r w:rsidR="0073196A" w:rsidRPr="0073196A">
        <w:rPr>
          <w:rFonts w:ascii="Times New Roman" w:hAnsi="Times New Roman"/>
          <w:sz w:val="24"/>
          <w:szCs w:val="24"/>
        </w:rPr>
        <w:t xml:space="preserve">all provide detailed workpapers </w:t>
      </w:r>
      <w:r w:rsidRPr="0073196A">
        <w:rPr>
          <w:rFonts w:ascii="Times New Roman" w:hAnsi="Times New Roman"/>
          <w:sz w:val="24"/>
          <w:szCs w:val="24"/>
        </w:rPr>
        <w:t>documenting the nature of any costs that cannot be directly assigned.  For adequately documented costs, the utility may derive an account-specific functionalization factor based on the directly assigned costs or appropriate cost-causation principles…</w:t>
      </w:r>
    </w:p>
    <w:p w:rsidR="004A6B6A" w:rsidRPr="0073196A" w:rsidRDefault="004A6B6A" w:rsidP="0073196A">
      <w:pPr>
        <w:pStyle w:val="ListParagraph"/>
        <w:numPr>
          <w:ilvl w:val="0"/>
          <w:numId w:val="10"/>
        </w:numPr>
        <w:spacing w:line="240" w:lineRule="auto"/>
        <w:ind w:right="720"/>
        <w:jc w:val="both"/>
        <w:rPr>
          <w:rFonts w:ascii="Times New Roman" w:hAnsi="Times New Roman"/>
          <w:sz w:val="24"/>
          <w:szCs w:val="24"/>
        </w:rPr>
      </w:pPr>
      <w:r w:rsidRPr="0073196A">
        <w:rPr>
          <w:rFonts w:ascii="Times New Roman" w:hAnsi="Times New Roman"/>
          <w:sz w:val="24"/>
          <w:szCs w:val="24"/>
        </w:rPr>
        <w:t>[Last Resort] If adequately documented costs remain for which direct assignment or account specific functionalization cannot be identified, the appropriate functionalization factor prescribed in Schedule F may be used.  These functionalization factors shall only be used as a last resort…</w:t>
      </w:r>
      <w:r w:rsidR="00F35B29">
        <w:rPr>
          <w:rStyle w:val="FootnoteReference"/>
          <w:rFonts w:ascii="Times New Roman" w:hAnsi="Times New Roman"/>
          <w:sz w:val="24"/>
          <w:szCs w:val="24"/>
        </w:rPr>
        <w:footnoteReference w:id="29"/>
      </w:r>
    </w:p>
    <w:p w:rsidR="005D768D" w:rsidRPr="00AA7CD2" w:rsidRDefault="00AA7CD2" w:rsidP="00AA7CD2">
      <w:pPr>
        <w:spacing w:line="480" w:lineRule="auto"/>
        <w:ind w:left="720" w:firstLine="720"/>
        <w:jc w:val="both"/>
        <w:rPr>
          <w:sz w:val="24"/>
          <w:szCs w:val="24"/>
        </w:rPr>
      </w:pPr>
      <w:r>
        <w:rPr>
          <w:sz w:val="24"/>
          <w:szCs w:val="24"/>
        </w:rPr>
        <w:t>During the initial unbund</w:t>
      </w:r>
      <w:r w:rsidRPr="00AA7CD2">
        <w:rPr>
          <w:sz w:val="24"/>
          <w:szCs w:val="24"/>
        </w:rPr>
        <w:t>ling</w:t>
      </w:r>
      <w:r>
        <w:rPr>
          <w:sz w:val="24"/>
          <w:szCs w:val="24"/>
        </w:rPr>
        <w:t xml:space="preserve"> of costs in 2000</w:t>
      </w:r>
      <w:r w:rsidRPr="00AA7CD2">
        <w:rPr>
          <w:sz w:val="24"/>
          <w:szCs w:val="24"/>
        </w:rPr>
        <w:t xml:space="preserve">, </w:t>
      </w:r>
      <w:r>
        <w:rPr>
          <w:sz w:val="24"/>
          <w:szCs w:val="24"/>
        </w:rPr>
        <w:t>t</w:t>
      </w:r>
      <w:r w:rsidRPr="00AA7CD2">
        <w:rPr>
          <w:sz w:val="24"/>
          <w:szCs w:val="24"/>
        </w:rPr>
        <w:t xml:space="preserve">he Commission found that amounts should be directly assigned to the functions to the maximum extent reasonably possible, </w:t>
      </w:r>
      <w:r w:rsidR="002616E8">
        <w:rPr>
          <w:sz w:val="24"/>
          <w:szCs w:val="24"/>
        </w:rPr>
        <w:t xml:space="preserve">consistent with cost causation, </w:t>
      </w:r>
      <w:r w:rsidRPr="00AA7CD2">
        <w:rPr>
          <w:sz w:val="24"/>
          <w:szCs w:val="24"/>
        </w:rPr>
        <w:t xml:space="preserve">even for amounts that are difficult to assign </w:t>
      </w:r>
      <w:r w:rsidRPr="003719EC">
        <w:rPr>
          <w:sz w:val="24"/>
          <w:szCs w:val="24"/>
        </w:rPr>
        <w:t>directly.</w:t>
      </w:r>
      <w:r w:rsidRPr="003719EC">
        <w:rPr>
          <w:rStyle w:val="FootnoteReference"/>
          <w:sz w:val="24"/>
          <w:szCs w:val="24"/>
        </w:rPr>
        <w:footnoteReference w:id="30"/>
      </w:r>
    </w:p>
    <w:p w:rsidR="004A6B6A" w:rsidRPr="00215A50" w:rsidRDefault="004A6B6A" w:rsidP="004A6B6A">
      <w:pPr>
        <w:spacing w:line="480" w:lineRule="auto"/>
        <w:ind w:left="720" w:hanging="720"/>
        <w:jc w:val="both"/>
        <w:rPr>
          <w:b/>
          <w:sz w:val="24"/>
          <w:szCs w:val="24"/>
        </w:rPr>
      </w:pPr>
      <w:r w:rsidRPr="00215A50">
        <w:rPr>
          <w:b/>
          <w:sz w:val="24"/>
          <w:szCs w:val="24"/>
        </w:rPr>
        <w:lastRenderedPageBreak/>
        <w:t>Q.</w:t>
      </w:r>
      <w:r w:rsidRPr="00215A50">
        <w:rPr>
          <w:b/>
          <w:sz w:val="24"/>
          <w:szCs w:val="24"/>
        </w:rPr>
        <w:tab/>
      </w:r>
      <w:r>
        <w:rPr>
          <w:b/>
          <w:sz w:val="24"/>
          <w:szCs w:val="24"/>
        </w:rPr>
        <w:t>The Filing Package references cost-causation.  What is cost causation and how does it relate to cost allocation?</w:t>
      </w:r>
    </w:p>
    <w:p w:rsidR="00854CF7" w:rsidRDefault="004A6B6A" w:rsidP="004A6B6A">
      <w:pPr>
        <w:spacing w:line="480" w:lineRule="auto"/>
        <w:ind w:left="720" w:hanging="720"/>
        <w:jc w:val="both"/>
        <w:rPr>
          <w:sz w:val="24"/>
          <w:szCs w:val="24"/>
        </w:rPr>
      </w:pPr>
      <w:r>
        <w:rPr>
          <w:sz w:val="24"/>
          <w:szCs w:val="24"/>
        </w:rPr>
        <w:t>A.</w:t>
      </w:r>
      <w:r>
        <w:rPr>
          <w:sz w:val="24"/>
          <w:szCs w:val="24"/>
        </w:rPr>
        <w:tab/>
        <w:t xml:space="preserve">Cost causation is the ratemaking principle that costs are to be assigned to those </w:t>
      </w:r>
      <w:r w:rsidR="0039016C">
        <w:rPr>
          <w:sz w:val="24"/>
          <w:szCs w:val="24"/>
        </w:rPr>
        <w:t xml:space="preserve">customers </w:t>
      </w:r>
      <w:r>
        <w:rPr>
          <w:sz w:val="24"/>
          <w:szCs w:val="24"/>
        </w:rPr>
        <w:t>who cause the costs to be incurred</w:t>
      </w:r>
      <w:r w:rsidR="00854CF7">
        <w:rPr>
          <w:sz w:val="24"/>
          <w:szCs w:val="24"/>
        </w:rPr>
        <w:t xml:space="preserve"> by the utility</w:t>
      </w:r>
      <w:r>
        <w:rPr>
          <w:sz w:val="24"/>
          <w:szCs w:val="24"/>
        </w:rPr>
        <w:t xml:space="preserve">.  </w:t>
      </w:r>
      <w:r w:rsidR="00E3492D">
        <w:rPr>
          <w:sz w:val="24"/>
          <w:szCs w:val="24"/>
        </w:rPr>
        <w:t xml:space="preserve">Section 25.234 of the Commission’s Substantive Rules </w:t>
      </w:r>
      <w:r w:rsidR="00157613">
        <w:rPr>
          <w:sz w:val="24"/>
          <w:szCs w:val="24"/>
        </w:rPr>
        <w:t xml:space="preserve">requires that rates be based on </w:t>
      </w:r>
      <w:r>
        <w:rPr>
          <w:sz w:val="24"/>
          <w:szCs w:val="24"/>
        </w:rPr>
        <w:t>cost</w:t>
      </w:r>
      <w:r w:rsidR="000A2833">
        <w:rPr>
          <w:sz w:val="24"/>
          <w:szCs w:val="24"/>
        </w:rPr>
        <w:t>;</w:t>
      </w:r>
      <w:r w:rsidR="00E3492D">
        <w:rPr>
          <w:rStyle w:val="FootnoteReference"/>
          <w:sz w:val="24"/>
          <w:szCs w:val="24"/>
        </w:rPr>
        <w:footnoteReference w:id="31"/>
      </w:r>
      <w:r w:rsidR="00157613">
        <w:rPr>
          <w:sz w:val="24"/>
          <w:szCs w:val="24"/>
        </w:rPr>
        <w:t xml:space="preserve"> therefore</w:t>
      </w:r>
      <w:r w:rsidR="000A2833">
        <w:rPr>
          <w:sz w:val="24"/>
          <w:szCs w:val="24"/>
        </w:rPr>
        <w:t>,</w:t>
      </w:r>
      <w:r w:rsidR="00157613">
        <w:rPr>
          <w:sz w:val="24"/>
          <w:szCs w:val="24"/>
        </w:rPr>
        <w:t xml:space="preserve"> cost</w:t>
      </w:r>
      <w:r>
        <w:rPr>
          <w:sz w:val="24"/>
          <w:szCs w:val="24"/>
        </w:rPr>
        <w:t xml:space="preserve"> causation is the most important</w:t>
      </w:r>
      <w:r w:rsidR="009027FF">
        <w:rPr>
          <w:sz w:val="24"/>
          <w:szCs w:val="24"/>
        </w:rPr>
        <w:t xml:space="preserve"> principle in cost allocation.  In this proceeding, c</w:t>
      </w:r>
      <w:r>
        <w:rPr>
          <w:sz w:val="24"/>
          <w:szCs w:val="24"/>
        </w:rPr>
        <w:t xml:space="preserve">ost causation is equally important in </w:t>
      </w:r>
      <w:r w:rsidR="00854CF7">
        <w:rPr>
          <w:sz w:val="24"/>
          <w:szCs w:val="24"/>
        </w:rPr>
        <w:t xml:space="preserve">the </w:t>
      </w:r>
      <w:r>
        <w:rPr>
          <w:sz w:val="24"/>
          <w:szCs w:val="24"/>
        </w:rPr>
        <w:t>functional and class cost allocation</w:t>
      </w:r>
      <w:r w:rsidR="00854CF7">
        <w:rPr>
          <w:sz w:val="24"/>
          <w:szCs w:val="24"/>
        </w:rPr>
        <w:t xml:space="preserve"> steps in ratemaking</w:t>
      </w:r>
      <w:r w:rsidR="0039016C">
        <w:rPr>
          <w:sz w:val="24"/>
          <w:szCs w:val="24"/>
        </w:rPr>
        <w:t>.</w:t>
      </w:r>
    </w:p>
    <w:p w:rsidR="004A6B6A" w:rsidRDefault="004A6B6A" w:rsidP="00854CF7">
      <w:pPr>
        <w:spacing w:line="480" w:lineRule="auto"/>
        <w:ind w:left="720" w:firstLine="720"/>
        <w:jc w:val="both"/>
        <w:rPr>
          <w:sz w:val="24"/>
          <w:szCs w:val="24"/>
        </w:rPr>
      </w:pPr>
      <w:r>
        <w:rPr>
          <w:sz w:val="24"/>
          <w:szCs w:val="24"/>
        </w:rPr>
        <w:t xml:space="preserve">To perform an allocation of costs consistent with cost causation, the analyst performs an inquiry into the nature of the costs, then identifies the usage characteristics or attributes that cause the costs to be incurred by the utility.  </w:t>
      </w:r>
      <w:r w:rsidR="00831F69">
        <w:rPr>
          <w:sz w:val="24"/>
          <w:szCs w:val="24"/>
        </w:rPr>
        <w:t xml:space="preserve">The salient allocation data is </w:t>
      </w:r>
      <w:r w:rsidR="006D0E9D">
        <w:rPr>
          <w:sz w:val="24"/>
          <w:szCs w:val="24"/>
        </w:rPr>
        <w:t xml:space="preserve">then </w:t>
      </w:r>
      <w:r w:rsidR="00831F69">
        <w:rPr>
          <w:sz w:val="24"/>
          <w:szCs w:val="24"/>
        </w:rPr>
        <w:t>compiled</w:t>
      </w:r>
      <w:r w:rsidR="002B45C8">
        <w:rPr>
          <w:sz w:val="24"/>
          <w:szCs w:val="24"/>
        </w:rPr>
        <w:t>, allocation proportions calculated,</w:t>
      </w:r>
      <w:r w:rsidR="00831F69">
        <w:rPr>
          <w:sz w:val="24"/>
          <w:szCs w:val="24"/>
        </w:rPr>
        <w:t xml:space="preserve"> and c</w:t>
      </w:r>
      <w:r>
        <w:rPr>
          <w:sz w:val="24"/>
          <w:szCs w:val="24"/>
        </w:rPr>
        <w:t xml:space="preserve">osts </w:t>
      </w:r>
      <w:r w:rsidR="00831F69">
        <w:rPr>
          <w:sz w:val="24"/>
          <w:szCs w:val="24"/>
        </w:rPr>
        <w:t>allocated on that basis.</w:t>
      </w:r>
    </w:p>
    <w:p w:rsidR="004A6B6A" w:rsidRDefault="004A6B6A" w:rsidP="004A6B6A">
      <w:pPr>
        <w:spacing w:line="480" w:lineRule="auto"/>
        <w:ind w:left="720" w:firstLine="720"/>
        <w:jc w:val="both"/>
        <w:rPr>
          <w:sz w:val="24"/>
          <w:szCs w:val="24"/>
        </w:rPr>
      </w:pPr>
      <w:r>
        <w:rPr>
          <w:sz w:val="24"/>
          <w:szCs w:val="24"/>
        </w:rPr>
        <w:t>For example, the analyst may determine that peak demand on a substation drives</w:t>
      </w:r>
      <w:r w:rsidR="00EF0AF5">
        <w:rPr>
          <w:sz w:val="24"/>
          <w:szCs w:val="24"/>
        </w:rPr>
        <w:t xml:space="preserve"> substation capacity costs; gather demand information at the substation as part of a load study; and, </w:t>
      </w:r>
      <w:r>
        <w:rPr>
          <w:sz w:val="24"/>
          <w:szCs w:val="24"/>
        </w:rPr>
        <w:t>allocate substation capacity costs among customer classes in proportion to class demand coincident</w:t>
      </w:r>
      <w:r w:rsidR="003A3FA8">
        <w:rPr>
          <w:sz w:val="24"/>
          <w:szCs w:val="24"/>
        </w:rPr>
        <w:t xml:space="preserve"> with substation peak demand.</w:t>
      </w:r>
    </w:p>
    <w:p w:rsidR="004A6B6A" w:rsidRPr="009A7BAD" w:rsidRDefault="004A6B6A" w:rsidP="004A6B6A">
      <w:pPr>
        <w:spacing w:line="480" w:lineRule="auto"/>
        <w:ind w:left="720" w:hanging="720"/>
        <w:jc w:val="both"/>
        <w:rPr>
          <w:b/>
          <w:sz w:val="24"/>
          <w:szCs w:val="24"/>
        </w:rPr>
      </w:pPr>
      <w:r w:rsidRPr="009A7BAD">
        <w:rPr>
          <w:b/>
          <w:sz w:val="24"/>
          <w:szCs w:val="24"/>
        </w:rPr>
        <w:lastRenderedPageBreak/>
        <w:t>Q.</w:t>
      </w:r>
      <w:r w:rsidRPr="009A7BAD">
        <w:rPr>
          <w:b/>
          <w:sz w:val="24"/>
          <w:szCs w:val="24"/>
        </w:rPr>
        <w:tab/>
        <w:t>Please discuss the practical application of the Filing Package’s process for the functionalization of costs.</w:t>
      </w:r>
    </w:p>
    <w:p w:rsidR="004A6B6A" w:rsidRDefault="004A6B6A" w:rsidP="004A6B6A">
      <w:pPr>
        <w:spacing w:line="480" w:lineRule="auto"/>
        <w:ind w:left="720" w:hanging="720"/>
        <w:jc w:val="both"/>
        <w:rPr>
          <w:sz w:val="24"/>
          <w:szCs w:val="24"/>
        </w:rPr>
      </w:pPr>
      <w:r>
        <w:rPr>
          <w:sz w:val="24"/>
          <w:szCs w:val="24"/>
        </w:rPr>
        <w:t>A.</w:t>
      </w:r>
      <w:r>
        <w:rPr>
          <w:sz w:val="24"/>
          <w:szCs w:val="24"/>
        </w:rPr>
        <w:tab/>
      </w:r>
      <w:r w:rsidR="000C6452">
        <w:rPr>
          <w:sz w:val="24"/>
          <w:szCs w:val="24"/>
        </w:rPr>
        <w:t>Some</w:t>
      </w:r>
      <w:r>
        <w:rPr>
          <w:sz w:val="24"/>
          <w:szCs w:val="24"/>
        </w:rPr>
        <w:t xml:space="preserve"> costs are associated with one </w:t>
      </w:r>
      <w:r w:rsidR="007118A6">
        <w:rPr>
          <w:sz w:val="24"/>
          <w:szCs w:val="24"/>
        </w:rPr>
        <w:t xml:space="preserve">business </w:t>
      </w:r>
      <w:r>
        <w:rPr>
          <w:sz w:val="24"/>
          <w:szCs w:val="24"/>
        </w:rPr>
        <w:t xml:space="preserve">function and can be directly assigned </w:t>
      </w:r>
      <w:r w:rsidR="003845CA">
        <w:rPr>
          <w:sz w:val="24"/>
          <w:szCs w:val="24"/>
        </w:rPr>
        <w:t xml:space="preserve">to that function </w:t>
      </w:r>
      <w:r>
        <w:rPr>
          <w:sz w:val="24"/>
          <w:szCs w:val="24"/>
        </w:rPr>
        <w:t xml:space="preserve">(e.g., the costs of transmission lines and switching stations directly assigned to the transmission function).  </w:t>
      </w:r>
    </w:p>
    <w:p w:rsidR="004A6B6A" w:rsidRDefault="004A6B6A" w:rsidP="004A6B6A">
      <w:pPr>
        <w:spacing w:line="480" w:lineRule="auto"/>
        <w:ind w:left="720" w:firstLine="720"/>
        <w:jc w:val="both"/>
        <w:rPr>
          <w:sz w:val="24"/>
          <w:szCs w:val="24"/>
        </w:rPr>
      </w:pPr>
      <w:r>
        <w:rPr>
          <w:sz w:val="24"/>
          <w:szCs w:val="24"/>
        </w:rPr>
        <w:t>However, many costs are common costs that are incurred to support all business functions and cannot be directly assigned.  Examples include general plant</w:t>
      </w:r>
      <w:r w:rsidR="0005527A">
        <w:rPr>
          <w:sz w:val="24"/>
          <w:szCs w:val="24"/>
        </w:rPr>
        <w:t xml:space="preserve"> (i.e., administrative office space)</w:t>
      </w:r>
      <w:r>
        <w:rPr>
          <w:sz w:val="24"/>
          <w:szCs w:val="24"/>
        </w:rPr>
        <w:t xml:space="preserve">, intangible plant, administrative and general expenses, and tax expenses.  For a large utility like </w:t>
      </w:r>
      <w:r w:rsidR="00C8262C">
        <w:rPr>
          <w:sz w:val="24"/>
          <w:szCs w:val="24"/>
        </w:rPr>
        <w:t>CEHE</w:t>
      </w:r>
      <w:r>
        <w:rPr>
          <w:sz w:val="24"/>
          <w:szCs w:val="24"/>
        </w:rPr>
        <w:t>, common costs are significant.</w:t>
      </w:r>
    </w:p>
    <w:p w:rsidR="004A6B6A" w:rsidRDefault="004A6B6A" w:rsidP="004A6B6A">
      <w:pPr>
        <w:spacing w:line="480" w:lineRule="auto"/>
        <w:ind w:left="720" w:hanging="720"/>
        <w:jc w:val="both"/>
        <w:rPr>
          <w:b/>
          <w:sz w:val="24"/>
          <w:szCs w:val="24"/>
        </w:rPr>
      </w:pPr>
      <w:r w:rsidRPr="00190F31">
        <w:rPr>
          <w:b/>
          <w:sz w:val="24"/>
          <w:szCs w:val="24"/>
        </w:rPr>
        <w:t>Q.</w:t>
      </w:r>
      <w:r w:rsidRPr="00190F31">
        <w:rPr>
          <w:b/>
          <w:sz w:val="24"/>
          <w:szCs w:val="24"/>
        </w:rPr>
        <w:tab/>
      </w:r>
      <w:r>
        <w:rPr>
          <w:b/>
          <w:sz w:val="24"/>
          <w:szCs w:val="24"/>
        </w:rPr>
        <w:t>Are there ratemaking policy concerns that arise from the functionalization process’s role in determining the share of common costs that will be assigned to the transmission function versus other functions?</w:t>
      </w:r>
    </w:p>
    <w:p w:rsidR="00F76A77" w:rsidRDefault="004A6B6A" w:rsidP="00B64E34">
      <w:pPr>
        <w:spacing w:line="480" w:lineRule="auto"/>
        <w:ind w:left="720" w:hanging="720"/>
        <w:jc w:val="both"/>
        <w:rPr>
          <w:sz w:val="24"/>
          <w:szCs w:val="24"/>
        </w:rPr>
      </w:pPr>
      <w:r w:rsidRPr="00190F31">
        <w:rPr>
          <w:sz w:val="24"/>
          <w:szCs w:val="24"/>
        </w:rPr>
        <w:t>A.</w:t>
      </w:r>
      <w:r w:rsidRPr="00190F31">
        <w:rPr>
          <w:sz w:val="24"/>
          <w:szCs w:val="24"/>
        </w:rPr>
        <w:tab/>
      </w:r>
      <w:r>
        <w:rPr>
          <w:sz w:val="24"/>
          <w:szCs w:val="24"/>
        </w:rPr>
        <w:t xml:space="preserve">Yes.  </w:t>
      </w:r>
      <w:r w:rsidR="0042242A">
        <w:rPr>
          <w:sz w:val="24"/>
          <w:szCs w:val="24"/>
        </w:rPr>
        <w:t xml:space="preserve">PURA </w:t>
      </w:r>
      <w:r w:rsidR="00C02896">
        <w:rPr>
          <w:sz w:val="24"/>
          <w:szCs w:val="24"/>
        </w:rPr>
        <w:t xml:space="preserve">§ </w:t>
      </w:r>
      <w:r w:rsidR="0042242A">
        <w:rPr>
          <w:sz w:val="24"/>
          <w:szCs w:val="24"/>
        </w:rPr>
        <w:t>36.003(a) requires that the Commission establish just and reasonable rates</w:t>
      </w:r>
      <w:r w:rsidR="00B64E34">
        <w:rPr>
          <w:sz w:val="24"/>
          <w:szCs w:val="24"/>
        </w:rPr>
        <w:t xml:space="preserve">.  </w:t>
      </w:r>
      <w:r w:rsidR="0042242A">
        <w:rPr>
          <w:sz w:val="24"/>
          <w:szCs w:val="24"/>
        </w:rPr>
        <w:t xml:space="preserve">PURA </w:t>
      </w:r>
      <w:r w:rsidR="00C02896">
        <w:rPr>
          <w:sz w:val="24"/>
          <w:szCs w:val="24"/>
        </w:rPr>
        <w:t xml:space="preserve">§ </w:t>
      </w:r>
      <w:r w:rsidR="0042242A">
        <w:rPr>
          <w:sz w:val="24"/>
          <w:szCs w:val="24"/>
        </w:rPr>
        <w:t>36.003(c)</w:t>
      </w:r>
      <w:r w:rsidR="00B64E34">
        <w:rPr>
          <w:sz w:val="24"/>
          <w:szCs w:val="24"/>
        </w:rPr>
        <w:t>(3)</w:t>
      </w:r>
      <w:r w:rsidR="0042242A">
        <w:rPr>
          <w:sz w:val="24"/>
          <w:szCs w:val="24"/>
        </w:rPr>
        <w:t xml:space="preserve"> states that a utility </w:t>
      </w:r>
      <w:r w:rsidR="00B64E34">
        <w:rPr>
          <w:sz w:val="24"/>
          <w:szCs w:val="24"/>
        </w:rPr>
        <w:t>may not establish or maintain an unreasonable difference concerning rates between localities or between classes of service.</w:t>
      </w:r>
      <w:r w:rsidR="00424FAD">
        <w:rPr>
          <w:sz w:val="24"/>
          <w:szCs w:val="24"/>
        </w:rPr>
        <w:t xml:space="preserve">  These provisions are relevant to </w:t>
      </w:r>
      <w:r w:rsidR="000C6452">
        <w:rPr>
          <w:sz w:val="24"/>
          <w:szCs w:val="24"/>
        </w:rPr>
        <w:t xml:space="preserve">the </w:t>
      </w:r>
      <w:r w:rsidR="00424FAD">
        <w:rPr>
          <w:sz w:val="24"/>
          <w:szCs w:val="24"/>
        </w:rPr>
        <w:t>allocati</w:t>
      </w:r>
      <w:r w:rsidR="000C6452">
        <w:rPr>
          <w:sz w:val="24"/>
          <w:szCs w:val="24"/>
        </w:rPr>
        <w:t>on of</w:t>
      </w:r>
      <w:r w:rsidR="00424FAD">
        <w:rPr>
          <w:sz w:val="24"/>
          <w:szCs w:val="24"/>
        </w:rPr>
        <w:t xml:space="preserve"> costs between wholesale and retail rates, because different classes of customers are subject to these rates.</w:t>
      </w:r>
    </w:p>
    <w:p w:rsidR="004A6B6A" w:rsidRDefault="00424FAD" w:rsidP="0042242A">
      <w:pPr>
        <w:spacing w:line="480" w:lineRule="auto"/>
        <w:ind w:left="720" w:firstLine="720"/>
        <w:jc w:val="both"/>
        <w:rPr>
          <w:sz w:val="24"/>
          <w:szCs w:val="24"/>
        </w:rPr>
      </w:pPr>
      <w:r>
        <w:rPr>
          <w:sz w:val="24"/>
          <w:szCs w:val="24"/>
        </w:rPr>
        <w:lastRenderedPageBreak/>
        <w:t xml:space="preserve">Common costs that are included in wholesale TCOS are “uplifted” to the ERCOT transmission grid.  </w:t>
      </w:r>
      <w:r w:rsidR="00661B24">
        <w:rPr>
          <w:sz w:val="24"/>
          <w:szCs w:val="24"/>
        </w:rPr>
        <w:t>S</w:t>
      </w:r>
      <w:r w:rsidR="00054B57">
        <w:rPr>
          <w:sz w:val="24"/>
          <w:szCs w:val="24"/>
        </w:rPr>
        <w:t xml:space="preserve">ome </w:t>
      </w:r>
      <w:r w:rsidR="004457FD">
        <w:rPr>
          <w:sz w:val="24"/>
          <w:szCs w:val="24"/>
        </w:rPr>
        <w:t>portion</w:t>
      </w:r>
      <w:r w:rsidR="00054B57">
        <w:rPr>
          <w:sz w:val="24"/>
          <w:szCs w:val="24"/>
        </w:rPr>
        <w:t xml:space="preserve"> of the costs </w:t>
      </w:r>
      <w:r w:rsidR="00EC0C64">
        <w:rPr>
          <w:sz w:val="24"/>
          <w:szCs w:val="24"/>
        </w:rPr>
        <w:t>are then</w:t>
      </w:r>
      <w:r w:rsidR="004A6B6A">
        <w:rPr>
          <w:sz w:val="24"/>
          <w:szCs w:val="24"/>
        </w:rPr>
        <w:t xml:space="preserve"> borne by </w:t>
      </w:r>
      <w:r w:rsidR="00AA66F9">
        <w:rPr>
          <w:sz w:val="24"/>
          <w:szCs w:val="24"/>
        </w:rPr>
        <w:t xml:space="preserve">all of </w:t>
      </w:r>
      <w:r w:rsidR="004A6B6A">
        <w:rPr>
          <w:sz w:val="24"/>
          <w:szCs w:val="24"/>
        </w:rPr>
        <w:t>the 123 load serving entities identified above, which includes most of the captive ratepayers in the State of Texas.</w:t>
      </w:r>
      <w:r w:rsidR="007118A6">
        <w:rPr>
          <w:sz w:val="24"/>
          <w:szCs w:val="24"/>
        </w:rPr>
        <w:t xml:space="preserve">  </w:t>
      </w:r>
      <w:r w:rsidR="004A6B6A">
        <w:rPr>
          <w:sz w:val="24"/>
          <w:szCs w:val="24"/>
        </w:rPr>
        <w:t xml:space="preserve">In contrast, common costs that are assigned to the distribution, metering and customer service functions will be </w:t>
      </w:r>
      <w:r w:rsidR="007D289C">
        <w:rPr>
          <w:sz w:val="24"/>
          <w:szCs w:val="24"/>
        </w:rPr>
        <w:t xml:space="preserve">included in retail rates and </w:t>
      </w:r>
      <w:r w:rsidR="004A6B6A">
        <w:rPr>
          <w:sz w:val="24"/>
          <w:szCs w:val="24"/>
        </w:rPr>
        <w:t xml:space="preserve">borne </w:t>
      </w:r>
      <w:r w:rsidR="00466D22">
        <w:rPr>
          <w:sz w:val="24"/>
          <w:szCs w:val="24"/>
        </w:rPr>
        <w:t xml:space="preserve">exclusively </w:t>
      </w:r>
      <w:r w:rsidR="004A6B6A">
        <w:rPr>
          <w:sz w:val="24"/>
          <w:szCs w:val="24"/>
        </w:rPr>
        <w:t xml:space="preserve">by retail ratepayers in </w:t>
      </w:r>
      <w:r w:rsidR="00C8262C">
        <w:rPr>
          <w:sz w:val="24"/>
          <w:szCs w:val="24"/>
        </w:rPr>
        <w:t>CEHE</w:t>
      </w:r>
      <w:r w:rsidR="004A6B6A">
        <w:rPr>
          <w:sz w:val="24"/>
          <w:szCs w:val="24"/>
        </w:rPr>
        <w:t>’s service territory.</w:t>
      </w:r>
    </w:p>
    <w:p w:rsidR="004A6B6A" w:rsidRDefault="004A6B6A" w:rsidP="004A6B6A">
      <w:pPr>
        <w:spacing w:line="480" w:lineRule="auto"/>
        <w:ind w:left="720" w:hanging="720"/>
        <w:jc w:val="both"/>
        <w:rPr>
          <w:sz w:val="24"/>
          <w:szCs w:val="24"/>
        </w:rPr>
      </w:pPr>
      <w:r>
        <w:rPr>
          <w:sz w:val="24"/>
          <w:szCs w:val="24"/>
        </w:rPr>
        <w:tab/>
      </w:r>
      <w:r>
        <w:rPr>
          <w:sz w:val="24"/>
          <w:szCs w:val="24"/>
        </w:rPr>
        <w:tab/>
        <w:t xml:space="preserve">For example, above I identified </w:t>
      </w:r>
      <w:r w:rsidR="00442AE6">
        <w:rPr>
          <w:sz w:val="24"/>
          <w:szCs w:val="24"/>
        </w:rPr>
        <w:t>the Company</w:t>
      </w:r>
      <w:r w:rsidR="004457FD">
        <w:rPr>
          <w:sz w:val="24"/>
          <w:szCs w:val="24"/>
        </w:rPr>
        <w:t>’s</w:t>
      </w:r>
      <w:r>
        <w:rPr>
          <w:sz w:val="24"/>
          <w:szCs w:val="24"/>
        </w:rPr>
        <w:t xml:space="preserve"> DSP’s share of the costs of the grid during 2019 as approximately 25%.  </w:t>
      </w:r>
      <w:r w:rsidR="003D6D2D">
        <w:rPr>
          <w:sz w:val="24"/>
          <w:szCs w:val="24"/>
        </w:rPr>
        <w:t>This means that f</w:t>
      </w:r>
      <w:r>
        <w:rPr>
          <w:sz w:val="24"/>
          <w:szCs w:val="24"/>
        </w:rPr>
        <w:t xml:space="preserve">or every dollar in common costs assigned to the transmission function </w:t>
      </w:r>
      <w:r w:rsidR="003D6D2D">
        <w:rPr>
          <w:sz w:val="24"/>
          <w:szCs w:val="24"/>
        </w:rPr>
        <w:t>(</w:t>
      </w:r>
      <w:r>
        <w:rPr>
          <w:sz w:val="24"/>
          <w:szCs w:val="24"/>
        </w:rPr>
        <w:t>and uplifted to the ERCOT grid</w:t>
      </w:r>
      <w:r w:rsidR="003D6D2D">
        <w:rPr>
          <w:sz w:val="24"/>
          <w:szCs w:val="24"/>
        </w:rPr>
        <w:t>)</w:t>
      </w:r>
      <w:r>
        <w:rPr>
          <w:sz w:val="24"/>
          <w:szCs w:val="24"/>
        </w:rPr>
        <w:t xml:space="preserve">, </w:t>
      </w:r>
      <w:r w:rsidR="00C8262C">
        <w:rPr>
          <w:sz w:val="24"/>
          <w:szCs w:val="24"/>
        </w:rPr>
        <w:t>CEHE</w:t>
      </w:r>
      <w:r>
        <w:rPr>
          <w:sz w:val="24"/>
          <w:szCs w:val="24"/>
        </w:rPr>
        <w:t>’s retail customers will bear only 25 cents on the dollar in the form of ERCOT transmission payments.</w:t>
      </w:r>
      <w:r w:rsidR="007D289C">
        <w:rPr>
          <w:rStyle w:val="FootnoteReference"/>
          <w:sz w:val="24"/>
          <w:szCs w:val="24"/>
        </w:rPr>
        <w:footnoteReference w:id="32"/>
      </w:r>
      <w:r>
        <w:rPr>
          <w:sz w:val="24"/>
          <w:szCs w:val="24"/>
        </w:rPr>
        <w:t xml:space="preserve">  However, </w:t>
      </w:r>
      <w:r w:rsidR="00442AE6">
        <w:rPr>
          <w:sz w:val="24"/>
          <w:szCs w:val="24"/>
        </w:rPr>
        <w:t>the Company</w:t>
      </w:r>
      <w:r>
        <w:rPr>
          <w:sz w:val="24"/>
          <w:szCs w:val="24"/>
        </w:rPr>
        <w:t xml:space="preserve">’s retail </w:t>
      </w:r>
      <w:r w:rsidR="003D6D2D">
        <w:rPr>
          <w:sz w:val="24"/>
          <w:szCs w:val="24"/>
        </w:rPr>
        <w:t xml:space="preserve">customers will bear 100% of </w:t>
      </w:r>
      <w:r>
        <w:rPr>
          <w:sz w:val="24"/>
          <w:szCs w:val="24"/>
        </w:rPr>
        <w:t>common costs assigned to other functions.</w:t>
      </w:r>
    </w:p>
    <w:p w:rsidR="004A6B6A" w:rsidRDefault="004A6B6A" w:rsidP="004A6B6A">
      <w:pPr>
        <w:spacing w:line="480" w:lineRule="auto"/>
        <w:ind w:left="720" w:hanging="720"/>
        <w:jc w:val="both"/>
        <w:rPr>
          <w:sz w:val="24"/>
          <w:szCs w:val="24"/>
        </w:rPr>
      </w:pPr>
      <w:r>
        <w:rPr>
          <w:sz w:val="24"/>
          <w:szCs w:val="24"/>
        </w:rPr>
        <w:tab/>
      </w:r>
      <w:r>
        <w:rPr>
          <w:sz w:val="24"/>
          <w:szCs w:val="24"/>
        </w:rPr>
        <w:tab/>
      </w:r>
      <w:r w:rsidR="00C8262C">
        <w:rPr>
          <w:sz w:val="24"/>
          <w:szCs w:val="24"/>
        </w:rPr>
        <w:t>CEHE</w:t>
      </w:r>
      <w:r>
        <w:rPr>
          <w:sz w:val="24"/>
          <w:szCs w:val="24"/>
        </w:rPr>
        <w:t xml:space="preserve"> faces an incentive to uplift costs to the grid to minimize its retail delivery charges.  Likewise, </w:t>
      </w:r>
      <w:r w:rsidR="004457FD">
        <w:rPr>
          <w:sz w:val="24"/>
          <w:szCs w:val="24"/>
        </w:rPr>
        <w:t xml:space="preserve">many </w:t>
      </w:r>
      <w:r>
        <w:rPr>
          <w:sz w:val="24"/>
          <w:szCs w:val="24"/>
        </w:rPr>
        <w:t xml:space="preserve">parties to this proceeding who represent retail ratepayers </w:t>
      </w:r>
      <w:r w:rsidR="00AA66F9">
        <w:rPr>
          <w:sz w:val="24"/>
          <w:szCs w:val="24"/>
        </w:rPr>
        <w:t xml:space="preserve">also </w:t>
      </w:r>
      <w:r>
        <w:rPr>
          <w:sz w:val="24"/>
          <w:szCs w:val="24"/>
        </w:rPr>
        <w:t xml:space="preserve">face </w:t>
      </w:r>
      <w:r w:rsidR="00AA66F9">
        <w:rPr>
          <w:sz w:val="24"/>
          <w:szCs w:val="24"/>
        </w:rPr>
        <w:t>an</w:t>
      </w:r>
      <w:r>
        <w:rPr>
          <w:sz w:val="24"/>
          <w:szCs w:val="24"/>
        </w:rPr>
        <w:t xml:space="preserve"> incentive to minimize costs to the </w:t>
      </w:r>
      <w:r w:rsidR="009800FF">
        <w:rPr>
          <w:sz w:val="24"/>
          <w:szCs w:val="24"/>
        </w:rPr>
        <w:t>retail customers they represent by uplifting of cost to the grid.</w:t>
      </w:r>
    </w:p>
    <w:p w:rsidR="004A6B6A" w:rsidRDefault="004A6B6A" w:rsidP="004A6B6A">
      <w:pPr>
        <w:spacing w:line="480" w:lineRule="auto"/>
        <w:ind w:left="720" w:hanging="720"/>
        <w:jc w:val="both"/>
        <w:rPr>
          <w:sz w:val="24"/>
          <w:szCs w:val="24"/>
        </w:rPr>
      </w:pPr>
      <w:r>
        <w:rPr>
          <w:sz w:val="24"/>
          <w:szCs w:val="24"/>
        </w:rPr>
        <w:lastRenderedPageBreak/>
        <w:tab/>
      </w:r>
      <w:r>
        <w:rPr>
          <w:sz w:val="24"/>
          <w:szCs w:val="24"/>
        </w:rPr>
        <w:tab/>
        <w:t xml:space="preserve">Commission Staff is </w:t>
      </w:r>
      <w:r w:rsidR="003F7B28">
        <w:rPr>
          <w:sz w:val="24"/>
          <w:szCs w:val="24"/>
        </w:rPr>
        <w:t>a</w:t>
      </w:r>
      <w:r>
        <w:rPr>
          <w:sz w:val="24"/>
          <w:szCs w:val="24"/>
        </w:rPr>
        <w:t xml:space="preserve"> party in this proceeding that has an incentive to oppose the </w:t>
      </w:r>
      <w:r w:rsidR="004457FD">
        <w:rPr>
          <w:sz w:val="24"/>
          <w:szCs w:val="24"/>
        </w:rPr>
        <w:t xml:space="preserve">inappropriate </w:t>
      </w:r>
      <w:r>
        <w:rPr>
          <w:sz w:val="24"/>
          <w:szCs w:val="24"/>
        </w:rPr>
        <w:t>uplifting of costs, consistent with the</w:t>
      </w:r>
      <w:r w:rsidR="004457FD">
        <w:rPr>
          <w:sz w:val="24"/>
          <w:szCs w:val="24"/>
        </w:rPr>
        <w:t xml:space="preserve"> requirements that rates be just and reasonable, based on cost, and </w:t>
      </w:r>
      <w:r w:rsidR="00C6276C">
        <w:rPr>
          <w:sz w:val="24"/>
          <w:szCs w:val="24"/>
        </w:rPr>
        <w:t xml:space="preserve">consistent with PURA </w:t>
      </w:r>
      <w:r w:rsidR="001D0780">
        <w:rPr>
          <w:sz w:val="24"/>
          <w:szCs w:val="24"/>
        </w:rPr>
        <w:t xml:space="preserve">§ </w:t>
      </w:r>
      <w:r w:rsidR="00C6276C">
        <w:rPr>
          <w:sz w:val="24"/>
          <w:szCs w:val="24"/>
        </w:rPr>
        <w:t>36.003(c)(3)</w:t>
      </w:r>
      <w:r>
        <w:rPr>
          <w:sz w:val="24"/>
          <w:szCs w:val="24"/>
        </w:rPr>
        <w:t>.</w:t>
      </w:r>
    </w:p>
    <w:p w:rsidR="006C4123" w:rsidRDefault="006C4123" w:rsidP="006C4123">
      <w:pPr>
        <w:spacing w:line="480" w:lineRule="auto"/>
        <w:ind w:left="720" w:hanging="720"/>
        <w:jc w:val="both"/>
        <w:rPr>
          <w:b/>
          <w:sz w:val="24"/>
          <w:szCs w:val="24"/>
        </w:rPr>
      </w:pPr>
      <w:r w:rsidRPr="00901058">
        <w:rPr>
          <w:b/>
          <w:sz w:val="24"/>
          <w:szCs w:val="24"/>
        </w:rPr>
        <w:t>Q.</w:t>
      </w:r>
      <w:r w:rsidRPr="00901058">
        <w:rPr>
          <w:b/>
          <w:sz w:val="24"/>
          <w:szCs w:val="24"/>
        </w:rPr>
        <w:tab/>
      </w:r>
      <w:r>
        <w:rPr>
          <w:b/>
          <w:sz w:val="24"/>
          <w:szCs w:val="24"/>
        </w:rPr>
        <w:t xml:space="preserve">Has the Commission recently expressed concern about </w:t>
      </w:r>
      <w:r w:rsidR="000168C6">
        <w:rPr>
          <w:b/>
          <w:sz w:val="24"/>
          <w:szCs w:val="24"/>
        </w:rPr>
        <w:t>a TDU’s incentive</w:t>
      </w:r>
      <w:r>
        <w:rPr>
          <w:b/>
          <w:sz w:val="24"/>
          <w:szCs w:val="24"/>
        </w:rPr>
        <w:t xml:space="preserve"> to </w:t>
      </w:r>
      <w:r w:rsidR="003F7B28">
        <w:rPr>
          <w:b/>
          <w:sz w:val="24"/>
          <w:szCs w:val="24"/>
        </w:rPr>
        <w:t>inappropriately shift</w:t>
      </w:r>
      <w:r>
        <w:rPr>
          <w:b/>
          <w:sz w:val="24"/>
          <w:szCs w:val="24"/>
        </w:rPr>
        <w:t xml:space="preserve"> costs </w:t>
      </w:r>
      <w:r w:rsidR="003F7B28">
        <w:rPr>
          <w:b/>
          <w:sz w:val="24"/>
          <w:szCs w:val="24"/>
        </w:rPr>
        <w:t>on</w:t>
      </w:r>
      <w:r>
        <w:rPr>
          <w:b/>
          <w:sz w:val="24"/>
          <w:szCs w:val="24"/>
        </w:rPr>
        <w:t>to the ERCOT transmission grid?</w:t>
      </w:r>
    </w:p>
    <w:p w:rsidR="009B6F2A" w:rsidRDefault="006C4123" w:rsidP="006C4123">
      <w:pPr>
        <w:spacing w:line="480" w:lineRule="auto"/>
        <w:ind w:left="720" w:hanging="720"/>
        <w:jc w:val="both"/>
        <w:rPr>
          <w:sz w:val="24"/>
          <w:szCs w:val="24"/>
        </w:rPr>
      </w:pPr>
      <w:r w:rsidRPr="008140B1">
        <w:rPr>
          <w:sz w:val="24"/>
          <w:szCs w:val="24"/>
        </w:rPr>
        <w:t>A.</w:t>
      </w:r>
      <w:r w:rsidRPr="008140B1">
        <w:rPr>
          <w:sz w:val="24"/>
          <w:szCs w:val="24"/>
        </w:rPr>
        <w:tab/>
        <w:t xml:space="preserve">Yes.  </w:t>
      </w:r>
      <w:r w:rsidR="009B6F2A">
        <w:rPr>
          <w:sz w:val="24"/>
          <w:szCs w:val="24"/>
        </w:rPr>
        <w:t>At an Open Meeting on October 26, 2017, the Commission stated:</w:t>
      </w:r>
    </w:p>
    <w:p w:rsidR="009B6F2A" w:rsidRDefault="000C6452" w:rsidP="009B6F2A">
      <w:pPr>
        <w:ind w:left="1440" w:right="720"/>
        <w:jc w:val="both"/>
        <w:rPr>
          <w:sz w:val="24"/>
          <w:szCs w:val="24"/>
        </w:rPr>
      </w:pPr>
      <w:r>
        <w:rPr>
          <w:sz w:val="24"/>
          <w:szCs w:val="24"/>
        </w:rPr>
        <w:t xml:space="preserve">CHAIRMAN WALKER: </w:t>
      </w:r>
      <w:r w:rsidR="009B6F2A">
        <w:rPr>
          <w:sz w:val="24"/>
          <w:szCs w:val="24"/>
        </w:rPr>
        <w:t>… I am concerned, I guess, about having companies that have very low distribution returns and then very high transmission returns and the implications of that, because what that means is, as you-all know, that the ERCOT—rest of ERCOT ratepayers are subsidizing the local distribution customers, and I have a problem with that.</w:t>
      </w:r>
      <w:r w:rsidR="009B6F2A">
        <w:rPr>
          <w:rStyle w:val="FootnoteReference"/>
          <w:sz w:val="24"/>
          <w:szCs w:val="24"/>
        </w:rPr>
        <w:footnoteReference w:id="33"/>
      </w:r>
    </w:p>
    <w:p w:rsidR="002F4756" w:rsidRDefault="002F4756" w:rsidP="002F4756">
      <w:pPr>
        <w:jc w:val="both"/>
        <w:rPr>
          <w:sz w:val="24"/>
          <w:szCs w:val="24"/>
        </w:rPr>
      </w:pPr>
      <w:r>
        <w:rPr>
          <w:sz w:val="24"/>
          <w:szCs w:val="24"/>
        </w:rPr>
        <w:tab/>
      </w:r>
      <w:r>
        <w:rPr>
          <w:sz w:val="24"/>
          <w:szCs w:val="24"/>
        </w:rPr>
        <w:tab/>
      </w:r>
    </w:p>
    <w:p w:rsidR="002F4756" w:rsidRDefault="002F4756" w:rsidP="00D41095">
      <w:pPr>
        <w:spacing w:line="480" w:lineRule="auto"/>
        <w:ind w:left="720"/>
        <w:jc w:val="both"/>
        <w:rPr>
          <w:sz w:val="24"/>
          <w:szCs w:val="24"/>
        </w:rPr>
      </w:pPr>
      <w:r>
        <w:rPr>
          <w:sz w:val="24"/>
          <w:szCs w:val="24"/>
        </w:rPr>
        <w:tab/>
        <w:t>In a memorandum in January 2018, the Commission re-iterated this concern, stating:</w:t>
      </w:r>
    </w:p>
    <w:p w:rsidR="00155CDC" w:rsidRDefault="00D41095" w:rsidP="00155CDC">
      <w:pPr>
        <w:ind w:left="1440" w:right="720"/>
        <w:jc w:val="both"/>
        <w:rPr>
          <w:sz w:val="24"/>
          <w:szCs w:val="24"/>
        </w:rPr>
      </w:pPr>
      <w:r>
        <w:rPr>
          <w:sz w:val="24"/>
          <w:szCs w:val="24"/>
        </w:rPr>
        <w:t>As discussed at the open meeting on October 26, 2017, I had concerns with the subsidization between the distribution and transmission rates for [</w:t>
      </w:r>
      <w:r w:rsidR="00C8262C">
        <w:rPr>
          <w:sz w:val="24"/>
          <w:szCs w:val="24"/>
        </w:rPr>
        <w:t>CEHE</w:t>
      </w:r>
      <w:r>
        <w:rPr>
          <w:sz w:val="24"/>
          <w:szCs w:val="24"/>
        </w:rPr>
        <w:t>].</w:t>
      </w:r>
      <w:r w:rsidR="007F215D">
        <w:rPr>
          <w:rStyle w:val="FootnoteReference"/>
          <w:sz w:val="24"/>
          <w:szCs w:val="24"/>
        </w:rPr>
        <w:footnoteReference w:id="34"/>
      </w:r>
    </w:p>
    <w:p w:rsidR="00155CDC" w:rsidRDefault="00155CDC" w:rsidP="00155CDC">
      <w:pPr>
        <w:ind w:left="1440" w:right="720"/>
        <w:jc w:val="both"/>
        <w:rPr>
          <w:sz w:val="24"/>
          <w:szCs w:val="24"/>
        </w:rPr>
      </w:pPr>
    </w:p>
    <w:p w:rsidR="006C4123" w:rsidRDefault="00155CDC" w:rsidP="00155CDC">
      <w:pPr>
        <w:spacing w:line="480" w:lineRule="auto"/>
        <w:ind w:left="720" w:firstLine="720"/>
        <w:jc w:val="both"/>
        <w:rPr>
          <w:sz w:val="24"/>
          <w:szCs w:val="24"/>
        </w:rPr>
      </w:pPr>
      <w:r>
        <w:rPr>
          <w:sz w:val="24"/>
          <w:szCs w:val="24"/>
        </w:rPr>
        <w:t>Additionally, i</w:t>
      </w:r>
      <w:r w:rsidR="006C4123" w:rsidRPr="00FB0265">
        <w:rPr>
          <w:sz w:val="24"/>
          <w:szCs w:val="24"/>
        </w:rPr>
        <w:t>n Project No. 39548</w:t>
      </w:r>
      <w:r>
        <w:rPr>
          <w:sz w:val="24"/>
          <w:szCs w:val="24"/>
        </w:rPr>
        <w:t xml:space="preserve"> </w:t>
      </w:r>
      <w:r w:rsidR="006C4123">
        <w:rPr>
          <w:sz w:val="24"/>
          <w:szCs w:val="24"/>
        </w:rPr>
        <w:t xml:space="preserve">the Commission amended its </w:t>
      </w:r>
      <w:r w:rsidR="006C4123" w:rsidRPr="00350031">
        <w:rPr>
          <w:i/>
          <w:sz w:val="24"/>
          <w:szCs w:val="24"/>
        </w:rPr>
        <w:t>Transmission &amp; Distribution (TDU) Investor-Owned Utilities Rate Filing Package for Cost-of-Service Determination</w:t>
      </w:r>
      <w:r w:rsidR="006C4123">
        <w:rPr>
          <w:sz w:val="24"/>
          <w:szCs w:val="24"/>
        </w:rPr>
        <w:t xml:space="preserve"> </w:t>
      </w:r>
      <w:r w:rsidR="006C4123">
        <w:rPr>
          <w:sz w:val="24"/>
          <w:szCs w:val="24"/>
        </w:rPr>
        <w:lastRenderedPageBreak/>
        <w:t>(“Filing Package”).  In its Order approving the amended Filing Package, the Commission stated:</w:t>
      </w:r>
    </w:p>
    <w:p w:rsidR="006C4123" w:rsidRDefault="006C4123" w:rsidP="006C4123">
      <w:pPr>
        <w:ind w:left="1440" w:right="720"/>
        <w:jc w:val="both"/>
        <w:rPr>
          <w:sz w:val="24"/>
          <w:szCs w:val="24"/>
        </w:rPr>
      </w:pPr>
      <w:r w:rsidRPr="00CD0F76">
        <w:rPr>
          <w:sz w:val="24"/>
          <w:szCs w:val="24"/>
        </w:rPr>
        <w:t>The commission notes its concern, however, that a</w:t>
      </w:r>
      <w:r>
        <w:rPr>
          <w:sz w:val="24"/>
          <w:szCs w:val="24"/>
        </w:rPr>
        <w:t xml:space="preserve"> </w:t>
      </w:r>
      <w:r w:rsidRPr="00CD0F76">
        <w:rPr>
          <w:sz w:val="24"/>
          <w:szCs w:val="24"/>
        </w:rPr>
        <w:t>TDU, as well as certain intervening parties, may face an incentive to seek functional</w:t>
      </w:r>
      <w:r>
        <w:rPr>
          <w:sz w:val="24"/>
          <w:szCs w:val="24"/>
        </w:rPr>
        <w:t xml:space="preserve"> </w:t>
      </w:r>
      <w:r w:rsidRPr="00CD0F76">
        <w:rPr>
          <w:sz w:val="24"/>
          <w:szCs w:val="24"/>
        </w:rPr>
        <w:t>assignments or allocations that inappropriately shift costs onto the transmission</w:t>
      </w:r>
      <w:r>
        <w:rPr>
          <w:sz w:val="24"/>
          <w:szCs w:val="24"/>
        </w:rPr>
        <w:t xml:space="preserve"> </w:t>
      </w:r>
      <w:r w:rsidRPr="00CD0F76">
        <w:rPr>
          <w:sz w:val="24"/>
          <w:szCs w:val="24"/>
        </w:rPr>
        <w:t>function (TRAN), as those costs are spread to customers outside the TDU's retail service</w:t>
      </w:r>
      <w:r>
        <w:rPr>
          <w:sz w:val="24"/>
          <w:szCs w:val="24"/>
        </w:rPr>
        <w:t xml:space="preserve"> territory and are collected </w:t>
      </w:r>
      <w:r w:rsidRPr="00CD0F76">
        <w:rPr>
          <w:sz w:val="24"/>
          <w:szCs w:val="24"/>
        </w:rPr>
        <w:t>from customers across the ERCOT grid.</w:t>
      </w:r>
      <w:r>
        <w:rPr>
          <w:rStyle w:val="FootnoteReference"/>
          <w:sz w:val="24"/>
          <w:szCs w:val="24"/>
        </w:rPr>
        <w:footnoteReference w:id="35"/>
      </w:r>
    </w:p>
    <w:p w:rsidR="006C4123" w:rsidRPr="00CD0F76" w:rsidRDefault="006C4123" w:rsidP="000C6452">
      <w:pPr>
        <w:suppressLineNumbers/>
        <w:ind w:left="2160"/>
        <w:jc w:val="both"/>
        <w:rPr>
          <w:sz w:val="24"/>
          <w:szCs w:val="24"/>
        </w:rPr>
      </w:pPr>
    </w:p>
    <w:p w:rsidR="006C4123" w:rsidRDefault="006C4123" w:rsidP="006C4123">
      <w:pPr>
        <w:spacing w:line="480" w:lineRule="auto"/>
        <w:ind w:left="720" w:hanging="720"/>
        <w:jc w:val="both"/>
        <w:rPr>
          <w:sz w:val="24"/>
          <w:szCs w:val="24"/>
        </w:rPr>
      </w:pPr>
      <w:r>
        <w:rPr>
          <w:sz w:val="24"/>
          <w:szCs w:val="24"/>
        </w:rPr>
        <w:tab/>
      </w:r>
      <w:r>
        <w:rPr>
          <w:sz w:val="24"/>
          <w:szCs w:val="24"/>
        </w:rPr>
        <w:tab/>
        <w:t>The concern was codified by the Commission when it approved amendments to General Instruction No. 11(b) to the Filing Package, including the addition of the following language:</w:t>
      </w:r>
    </w:p>
    <w:p w:rsidR="006C4123" w:rsidRDefault="006C4123" w:rsidP="006C4123">
      <w:pPr>
        <w:ind w:left="1440" w:right="720"/>
        <w:jc w:val="both"/>
        <w:rPr>
          <w:sz w:val="24"/>
          <w:szCs w:val="24"/>
        </w:rPr>
      </w:pPr>
      <w:r>
        <w:rPr>
          <w:sz w:val="24"/>
          <w:szCs w:val="24"/>
        </w:rPr>
        <w:t>For ERCOT TDUs, for any costs assigned or allocation to the TRAN function, and for which such assignment or allocation is not explicitly allowed for in the Substantive Rules, the utility must present a comprehensive justification for assigning or allocating those costs to the TRAN function, and must present evidence to support any such assignment or allocation to the TRAN function.</w:t>
      </w:r>
      <w:r>
        <w:rPr>
          <w:rStyle w:val="FootnoteReference"/>
          <w:sz w:val="24"/>
          <w:szCs w:val="24"/>
        </w:rPr>
        <w:footnoteReference w:id="36"/>
      </w:r>
      <w:r>
        <w:rPr>
          <w:sz w:val="24"/>
          <w:szCs w:val="24"/>
        </w:rPr>
        <w:t xml:space="preserve">  </w:t>
      </w:r>
    </w:p>
    <w:p w:rsidR="003258C6" w:rsidRDefault="003258C6" w:rsidP="006C4123">
      <w:pPr>
        <w:ind w:left="1440" w:right="720"/>
        <w:jc w:val="both"/>
        <w:rPr>
          <w:sz w:val="24"/>
          <w:szCs w:val="24"/>
        </w:rPr>
      </w:pPr>
    </w:p>
    <w:p w:rsidR="004A6B6A" w:rsidRDefault="004A6B6A" w:rsidP="004A6B6A">
      <w:pPr>
        <w:spacing w:line="480" w:lineRule="auto"/>
        <w:ind w:left="720" w:hanging="720"/>
        <w:jc w:val="both"/>
        <w:rPr>
          <w:b/>
          <w:sz w:val="24"/>
          <w:szCs w:val="24"/>
        </w:rPr>
      </w:pPr>
      <w:r w:rsidRPr="00297BDA">
        <w:rPr>
          <w:b/>
          <w:sz w:val="24"/>
          <w:szCs w:val="24"/>
        </w:rPr>
        <w:t>Q.</w:t>
      </w:r>
      <w:r w:rsidRPr="00297BDA">
        <w:rPr>
          <w:b/>
          <w:sz w:val="24"/>
          <w:szCs w:val="24"/>
        </w:rPr>
        <w:tab/>
      </w:r>
      <w:r>
        <w:rPr>
          <w:b/>
          <w:sz w:val="24"/>
          <w:szCs w:val="24"/>
        </w:rPr>
        <w:t xml:space="preserve">What happens when costs are inappropriately </w:t>
      </w:r>
      <w:r w:rsidR="00F8265D">
        <w:rPr>
          <w:b/>
          <w:sz w:val="24"/>
          <w:szCs w:val="24"/>
        </w:rPr>
        <w:t>shifted on</w:t>
      </w:r>
      <w:r>
        <w:rPr>
          <w:b/>
          <w:sz w:val="24"/>
          <w:szCs w:val="24"/>
        </w:rPr>
        <w:t>to the grid?</w:t>
      </w:r>
    </w:p>
    <w:p w:rsidR="004A6B6A" w:rsidRDefault="004A6B6A" w:rsidP="004A6B6A">
      <w:pPr>
        <w:spacing w:line="480" w:lineRule="auto"/>
        <w:ind w:left="720" w:hanging="720"/>
        <w:jc w:val="both"/>
        <w:rPr>
          <w:sz w:val="24"/>
          <w:szCs w:val="24"/>
        </w:rPr>
      </w:pPr>
      <w:r w:rsidRPr="00297BDA">
        <w:rPr>
          <w:sz w:val="24"/>
          <w:szCs w:val="24"/>
        </w:rPr>
        <w:t>A.</w:t>
      </w:r>
      <w:r w:rsidRPr="00297BDA">
        <w:rPr>
          <w:sz w:val="24"/>
          <w:szCs w:val="24"/>
        </w:rPr>
        <w:tab/>
      </w:r>
      <w:r>
        <w:rPr>
          <w:sz w:val="24"/>
          <w:szCs w:val="24"/>
        </w:rPr>
        <w:t>A</w:t>
      </w:r>
      <w:r w:rsidR="00510590">
        <w:rPr>
          <w:sz w:val="24"/>
          <w:szCs w:val="24"/>
        </w:rPr>
        <w:t>n inappropriate cross-</w:t>
      </w:r>
      <w:r>
        <w:rPr>
          <w:sz w:val="24"/>
          <w:szCs w:val="24"/>
        </w:rPr>
        <w:t xml:space="preserve">subsidy is introduced whereby wholesale customers in ERCOT are subsidizing </w:t>
      </w:r>
      <w:r w:rsidR="00C8262C">
        <w:rPr>
          <w:sz w:val="24"/>
          <w:szCs w:val="24"/>
        </w:rPr>
        <w:t>CEHE</w:t>
      </w:r>
      <w:r>
        <w:rPr>
          <w:sz w:val="24"/>
          <w:szCs w:val="24"/>
        </w:rPr>
        <w:t xml:space="preserve">’s retail customers.  This </w:t>
      </w:r>
      <w:r w:rsidR="00C8349E">
        <w:rPr>
          <w:sz w:val="24"/>
          <w:szCs w:val="24"/>
        </w:rPr>
        <w:t xml:space="preserve">also </w:t>
      </w:r>
      <w:r>
        <w:rPr>
          <w:sz w:val="24"/>
          <w:szCs w:val="24"/>
        </w:rPr>
        <w:t xml:space="preserve">distorts the competitive market by artificially </w:t>
      </w:r>
      <w:r w:rsidRPr="007220C5">
        <w:rPr>
          <w:sz w:val="24"/>
          <w:szCs w:val="24"/>
        </w:rPr>
        <w:t xml:space="preserve">inflating </w:t>
      </w:r>
      <w:r w:rsidRPr="007220C5">
        <w:rPr>
          <w:sz w:val="24"/>
          <w:szCs w:val="24"/>
        </w:rPr>
        <w:lastRenderedPageBreak/>
        <w:t xml:space="preserve">the cost of wholesale transmission service for all ERCOT ratepayers.  Upon adoption of competition in Texas, the Commission </w:t>
      </w:r>
      <w:r w:rsidR="007D5D42" w:rsidRPr="007220C5">
        <w:rPr>
          <w:sz w:val="24"/>
          <w:szCs w:val="24"/>
        </w:rPr>
        <w:t>expressed an interest in avoiding these kinds of subsidies, stating:</w:t>
      </w:r>
    </w:p>
    <w:p w:rsidR="007220C5" w:rsidRDefault="007220C5" w:rsidP="007220C5">
      <w:pPr>
        <w:ind w:left="1440" w:right="720"/>
        <w:jc w:val="both"/>
        <w:rPr>
          <w:sz w:val="24"/>
          <w:szCs w:val="24"/>
        </w:rPr>
      </w:pPr>
      <w:r w:rsidRPr="007220C5">
        <w:rPr>
          <w:sz w:val="24"/>
          <w:szCs w:val="24"/>
        </w:rPr>
        <w:t>CHAIRMAN WOOD: … the cost causation ought to totally drive this.  We ought to be as pure as possible in these rates because if we will continue to perpetuate all these subsidies and cross-subsidization mistakes of the past in the future, that will, I think in the long term, hurt competition …</w:t>
      </w:r>
    </w:p>
    <w:p w:rsidR="007220C5" w:rsidRDefault="007220C5" w:rsidP="007220C5">
      <w:pPr>
        <w:ind w:left="1440" w:right="720"/>
        <w:jc w:val="both"/>
        <w:rPr>
          <w:sz w:val="24"/>
          <w:szCs w:val="24"/>
        </w:rPr>
      </w:pPr>
    </w:p>
    <w:p w:rsidR="007220C5" w:rsidRDefault="007220C5" w:rsidP="007220C5">
      <w:pPr>
        <w:ind w:left="720" w:right="720" w:firstLine="720"/>
        <w:jc w:val="both"/>
        <w:rPr>
          <w:sz w:val="24"/>
          <w:szCs w:val="24"/>
        </w:rPr>
      </w:pPr>
      <w:r>
        <w:rPr>
          <w:sz w:val="24"/>
          <w:szCs w:val="24"/>
        </w:rPr>
        <w:t>COMM. WALSH:   I think you’re right.</w:t>
      </w:r>
      <w:r>
        <w:rPr>
          <w:rStyle w:val="FootnoteReference"/>
          <w:sz w:val="24"/>
          <w:szCs w:val="24"/>
        </w:rPr>
        <w:footnoteReference w:id="37"/>
      </w:r>
    </w:p>
    <w:p w:rsidR="007220C5" w:rsidRDefault="007220C5" w:rsidP="007220C5">
      <w:pPr>
        <w:ind w:left="720" w:hanging="720"/>
        <w:jc w:val="both"/>
        <w:rPr>
          <w:sz w:val="24"/>
          <w:szCs w:val="24"/>
        </w:rPr>
      </w:pPr>
    </w:p>
    <w:p w:rsidR="004A6B6A" w:rsidRDefault="004A6B6A" w:rsidP="00AA1144">
      <w:pPr>
        <w:spacing w:line="480" w:lineRule="auto"/>
        <w:ind w:left="720" w:hanging="720"/>
        <w:jc w:val="both"/>
        <w:rPr>
          <w:sz w:val="24"/>
          <w:szCs w:val="24"/>
        </w:rPr>
      </w:pPr>
      <w:r>
        <w:rPr>
          <w:sz w:val="24"/>
          <w:szCs w:val="24"/>
        </w:rPr>
        <w:tab/>
      </w:r>
      <w:r>
        <w:rPr>
          <w:sz w:val="24"/>
          <w:szCs w:val="24"/>
        </w:rPr>
        <w:tab/>
      </w:r>
      <w:r w:rsidR="00C8349E">
        <w:rPr>
          <w:sz w:val="24"/>
          <w:szCs w:val="24"/>
        </w:rPr>
        <w:t>Cross-s</w:t>
      </w:r>
      <w:r>
        <w:rPr>
          <w:sz w:val="24"/>
          <w:szCs w:val="24"/>
        </w:rPr>
        <w:t xml:space="preserve">ubsidies also introduce fundamental issues of fairness.  Under a </w:t>
      </w:r>
      <w:r w:rsidR="00C8349E">
        <w:rPr>
          <w:sz w:val="24"/>
          <w:szCs w:val="24"/>
        </w:rPr>
        <w:t>cross-</w:t>
      </w:r>
      <w:r>
        <w:rPr>
          <w:sz w:val="24"/>
          <w:szCs w:val="24"/>
        </w:rPr>
        <w:t xml:space="preserve">subsidy, costs that are caused by one group of ratepayers are shifted onto and borne by a different set of ratepayers.  For example, when </w:t>
      </w:r>
      <w:r w:rsidR="00C8262C">
        <w:rPr>
          <w:sz w:val="24"/>
          <w:szCs w:val="24"/>
        </w:rPr>
        <w:t>CEHE</w:t>
      </w:r>
      <w:r>
        <w:rPr>
          <w:sz w:val="24"/>
          <w:szCs w:val="24"/>
        </w:rPr>
        <w:t xml:space="preserve"> purchases </w:t>
      </w:r>
      <w:r w:rsidR="00AA1144">
        <w:rPr>
          <w:sz w:val="24"/>
          <w:szCs w:val="24"/>
        </w:rPr>
        <w:t xml:space="preserve">telecommunications services to support </w:t>
      </w:r>
      <w:r w:rsidR="000C6452">
        <w:rPr>
          <w:sz w:val="24"/>
          <w:szCs w:val="24"/>
        </w:rPr>
        <w:t>the</w:t>
      </w:r>
      <w:r w:rsidR="00AA1144">
        <w:rPr>
          <w:sz w:val="24"/>
          <w:szCs w:val="24"/>
        </w:rPr>
        <w:t xml:space="preserve"> advanced metering system in its service territory, </w:t>
      </w:r>
      <w:r>
        <w:rPr>
          <w:sz w:val="24"/>
          <w:szCs w:val="24"/>
        </w:rPr>
        <w:t xml:space="preserve">customers in Brownsville and Dallas should not be required to bear a share of </w:t>
      </w:r>
      <w:r w:rsidR="00AA1144">
        <w:rPr>
          <w:sz w:val="24"/>
          <w:szCs w:val="24"/>
        </w:rPr>
        <w:t>the telecommunications expenses</w:t>
      </w:r>
      <w:r>
        <w:rPr>
          <w:sz w:val="24"/>
          <w:szCs w:val="24"/>
        </w:rPr>
        <w:t xml:space="preserve"> under the transmission charges assessed to their retail customers, as would occur if </w:t>
      </w:r>
      <w:r w:rsidR="00480A24">
        <w:rPr>
          <w:sz w:val="24"/>
          <w:szCs w:val="24"/>
        </w:rPr>
        <w:t xml:space="preserve">the </w:t>
      </w:r>
      <w:r>
        <w:rPr>
          <w:sz w:val="24"/>
          <w:szCs w:val="24"/>
        </w:rPr>
        <w:t>costs were uplifted to the grid in this proceeding.</w:t>
      </w:r>
      <w:r w:rsidR="00AA1144">
        <w:rPr>
          <w:sz w:val="24"/>
          <w:szCs w:val="24"/>
        </w:rPr>
        <w:t xml:space="preserve">  </w:t>
      </w:r>
      <w:r w:rsidR="00F53B51">
        <w:rPr>
          <w:sz w:val="24"/>
          <w:szCs w:val="24"/>
        </w:rPr>
        <w:t xml:space="preserve">Dallas’s and </w:t>
      </w:r>
      <w:r w:rsidR="00AA1144">
        <w:rPr>
          <w:sz w:val="24"/>
          <w:szCs w:val="24"/>
        </w:rPr>
        <w:t>Brownsville’s customers do not receive any advanced metering service</w:t>
      </w:r>
      <w:r w:rsidR="00480A24">
        <w:rPr>
          <w:sz w:val="24"/>
          <w:szCs w:val="24"/>
        </w:rPr>
        <w:t>s</w:t>
      </w:r>
      <w:r w:rsidR="00C8349E">
        <w:rPr>
          <w:sz w:val="24"/>
          <w:szCs w:val="24"/>
        </w:rPr>
        <w:t xml:space="preserve"> from </w:t>
      </w:r>
      <w:r w:rsidR="00C8262C">
        <w:rPr>
          <w:sz w:val="24"/>
          <w:szCs w:val="24"/>
        </w:rPr>
        <w:t>CEHE</w:t>
      </w:r>
      <w:r w:rsidR="00C8349E">
        <w:rPr>
          <w:sz w:val="24"/>
          <w:szCs w:val="24"/>
        </w:rPr>
        <w:t xml:space="preserve">, and those customers do not cause those costs to be incurred by </w:t>
      </w:r>
      <w:r w:rsidR="00442AE6">
        <w:rPr>
          <w:sz w:val="24"/>
          <w:szCs w:val="24"/>
        </w:rPr>
        <w:t>the Company</w:t>
      </w:r>
      <w:r w:rsidR="00C8349E">
        <w:rPr>
          <w:sz w:val="24"/>
          <w:szCs w:val="24"/>
        </w:rPr>
        <w:t>.</w:t>
      </w:r>
    </w:p>
    <w:p w:rsidR="004A6B6A" w:rsidRPr="00CB2E47" w:rsidRDefault="004A6B6A" w:rsidP="004A6B6A">
      <w:pPr>
        <w:spacing w:line="480" w:lineRule="auto"/>
        <w:ind w:left="720" w:hanging="720"/>
        <w:jc w:val="both"/>
        <w:rPr>
          <w:b/>
          <w:sz w:val="24"/>
          <w:szCs w:val="24"/>
        </w:rPr>
      </w:pPr>
      <w:r w:rsidRPr="00CB2E47">
        <w:rPr>
          <w:b/>
          <w:sz w:val="24"/>
          <w:szCs w:val="24"/>
        </w:rPr>
        <w:t>Q.</w:t>
      </w:r>
      <w:r w:rsidRPr="00CB2E47">
        <w:rPr>
          <w:b/>
          <w:sz w:val="24"/>
          <w:szCs w:val="24"/>
        </w:rPr>
        <w:tab/>
        <w:t>Are there any other general policy concerns that arise when costs are uplifted to the grid?</w:t>
      </w:r>
    </w:p>
    <w:p w:rsidR="004A6B6A" w:rsidRDefault="004A6B6A" w:rsidP="004A6B6A">
      <w:pPr>
        <w:spacing w:line="480" w:lineRule="auto"/>
        <w:ind w:left="720" w:hanging="720"/>
        <w:jc w:val="both"/>
        <w:rPr>
          <w:sz w:val="24"/>
          <w:szCs w:val="24"/>
        </w:rPr>
      </w:pPr>
      <w:r>
        <w:rPr>
          <w:sz w:val="24"/>
          <w:szCs w:val="24"/>
        </w:rPr>
        <w:lastRenderedPageBreak/>
        <w:t>A.</w:t>
      </w:r>
      <w:r>
        <w:rPr>
          <w:sz w:val="24"/>
          <w:szCs w:val="24"/>
        </w:rPr>
        <w:tab/>
        <w:t xml:space="preserve">Yes.  Although uplifting costs to the grid may lead to an avoidance of charges for a utility’s retail customers in the short run, if such an approach were adopted by all other </w:t>
      </w:r>
      <w:r w:rsidR="00D92C29">
        <w:rPr>
          <w:sz w:val="24"/>
          <w:szCs w:val="24"/>
        </w:rPr>
        <w:t>TDUs</w:t>
      </w:r>
      <w:r>
        <w:rPr>
          <w:sz w:val="24"/>
          <w:szCs w:val="24"/>
        </w:rPr>
        <w:t xml:space="preserve"> in ERCOT, on the whole it would </w:t>
      </w:r>
      <w:r w:rsidR="00C27899">
        <w:rPr>
          <w:sz w:val="24"/>
          <w:szCs w:val="24"/>
        </w:rPr>
        <w:t xml:space="preserve">be expected to lead to </w:t>
      </w:r>
      <w:r>
        <w:rPr>
          <w:sz w:val="24"/>
          <w:szCs w:val="24"/>
        </w:rPr>
        <w:t>increase</w:t>
      </w:r>
      <w:r w:rsidR="00C27899">
        <w:rPr>
          <w:sz w:val="24"/>
          <w:szCs w:val="24"/>
        </w:rPr>
        <w:t>s to the</w:t>
      </w:r>
      <w:r>
        <w:rPr>
          <w:sz w:val="24"/>
          <w:szCs w:val="24"/>
        </w:rPr>
        <w:t xml:space="preserve"> </w:t>
      </w:r>
      <w:r w:rsidR="00B96035">
        <w:rPr>
          <w:sz w:val="24"/>
          <w:szCs w:val="24"/>
        </w:rPr>
        <w:t xml:space="preserve">all-in electric </w:t>
      </w:r>
      <w:r>
        <w:rPr>
          <w:sz w:val="24"/>
          <w:szCs w:val="24"/>
        </w:rPr>
        <w:t>charges</w:t>
      </w:r>
      <w:r w:rsidR="000B48CA">
        <w:rPr>
          <w:rStyle w:val="FootnoteReference"/>
          <w:sz w:val="24"/>
          <w:szCs w:val="24"/>
        </w:rPr>
        <w:footnoteReference w:id="38"/>
      </w:r>
      <w:r>
        <w:rPr>
          <w:sz w:val="24"/>
          <w:szCs w:val="24"/>
        </w:rPr>
        <w:t xml:space="preserve"> for all retail ratepayers.</w:t>
      </w:r>
    </w:p>
    <w:p w:rsidR="004A6B6A" w:rsidRDefault="004A6B6A" w:rsidP="004A6B6A">
      <w:pPr>
        <w:spacing w:line="480" w:lineRule="auto"/>
        <w:ind w:left="720" w:hanging="720"/>
        <w:jc w:val="both"/>
        <w:rPr>
          <w:b/>
          <w:sz w:val="24"/>
          <w:szCs w:val="24"/>
        </w:rPr>
      </w:pPr>
      <w:r w:rsidRPr="00E05895">
        <w:rPr>
          <w:b/>
          <w:sz w:val="24"/>
          <w:szCs w:val="24"/>
        </w:rPr>
        <w:t>Q.</w:t>
      </w:r>
      <w:r w:rsidRPr="00E05895">
        <w:rPr>
          <w:b/>
          <w:sz w:val="24"/>
          <w:szCs w:val="24"/>
        </w:rPr>
        <w:tab/>
      </w:r>
      <w:r>
        <w:rPr>
          <w:b/>
          <w:sz w:val="24"/>
          <w:szCs w:val="24"/>
        </w:rPr>
        <w:t xml:space="preserve">Were it </w:t>
      </w:r>
      <w:r w:rsidR="00C27899">
        <w:rPr>
          <w:b/>
          <w:sz w:val="24"/>
          <w:szCs w:val="24"/>
        </w:rPr>
        <w:t>to become common practice, how c</w:t>
      </w:r>
      <w:r>
        <w:rPr>
          <w:b/>
          <w:sz w:val="24"/>
          <w:szCs w:val="24"/>
        </w:rPr>
        <w:t xml:space="preserve">ould </w:t>
      </w:r>
      <w:r w:rsidR="00CC67D1">
        <w:rPr>
          <w:b/>
          <w:sz w:val="24"/>
          <w:szCs w:val="24"/>
        </w:rPr>
        <w:t xml:space="preserve">inappropriate </w:t>
      </w:r>
      <w:r>
        <w:rPr>
          <w:b/>
          <w:sz w:val="24"/>
          <w:szCs w:val="24"/>
        </w:rPr>
        <w:t xml:space="preserve">uplifting of costs to the grid increase </w:t>
      </w:r>
      <w:r w:rsidR="009946E8">
        <w:rPr>
          <w:b/>
          <w:sz w:val="24"/>
          <w:szCs w:val="24"/>
        </w:rPr>
        <w:t>all-in</w:t>
      </w:r>
      <w:r>
        <w:rPr>
          <w:b/>
          <w:sz w:val="24"/>
          <w:szCs w:val="24"/>
        </w:rPr>
        <w:t xml:space="preserve"> electric charges for retail ratepayers</w:t>
      </w:r>
      <w:r w:rsidR="004F2AE7">
        <w:rPr>
          <w:b/>
          <w:sz w:val="24"/>
          <w:szCs w:val="24"/>
        </w:rPr>
        <w:t xml:space="preserve"> throughout the State</w:t>
      </w:r>
      <w:r>
        <w:rPr>
          <w:b/>
          <w:sz w:val="24"/>
          <w:szCs w:val="24"/>
        </w:rPr>
        <w:t>?</w:t>
      </w:r>
    </w:p>
    <w:p w:rsidR="003C7BCB" w:rsidRDefault="004A6B6A" w:rsidP="004A6B6A">
      <w:pPr>
        <w:spacing w:line="480" w:lineRule="auto"/>
        <w:ind w:left="720" w:hanging="720"/>
        <w:jc w:val="both"/>
        <w:rPr>
          <w:sz w:val="24"/>
          <w:szCs w:val="24"/>
        </w:rPr>
      </w:pPr>
      <w:r w:rsidRPr="00E05895">
        <w:rPr>
          <w:sz w:val="24"/>
          <w:szCs w:val="24"/>
        </w:rPr>
        <w:t>A.</w:t>
      </w:r>
      <w:r w:rsidRPr="00E05895">
        <w:rPr>
          <w:sz w:val="24"/>
          <w:szCs w:val="24"/>
        </w:rPr>
        <w:tab/>
      </w:r>
      <w:r>
        <w:rPr>
          <w:sz w:val="24"/>
          <w:szCs w:val="24"/>
        </w:rPr>
        <w:t xml:space="preserve">Costs that </w:t>
      </w:r>
      <w:r w:rsidR="00C96012">
        <w:rPr>
          <w:sz w:val="24"/>
          <w:szCs w:val="24"/>
        </w:rPr>
        <w:t>are</w:t>
      </w:r>
      <w:r>
        <w:rPr>
          <w:sz w:val="24"/>
          <w:szCs w:val="24"/>
        </w:rPr>
        <w:t xml:space="preserve"> uplifted to the grid are less likely to be </w:t>
      </w:r>
      <w:r w:rsidR="006D37B1">
        <w:rPr>
          <w:sz w:val="24"/>
          <w:szCs w:val="24"/>
        </w:rPr>
        <w:t>scrutinized</w:t>
      </w:r>
      <w:r w:rsidR="00C96012">
        <w:rPr>
          <w:sz w:val="24"/>
          <w:szCs w:val="24"/>
        </w:rPr>
        <w:t xml:space="preserve"> and challenged by interven</w:t>
      </w:r>
      <w:r w:rsidR="00C27899">
        <w:rPr>
          <w:sz w:val="24"/>
          <w:szCs w:val="24"/>
        </w:rPr>
        <w:t>ing parties</w:t>
      </w:r>
      <w:r w:rsidR="00C96012">
        <w:rPr>
          <w:sz w:val="24"/>
          <w:szCs w:val="24"/>
        </w:rPr>
        <w:t xml:space="preserve"> in rate proceeding</w:t>
      </w:r>
      <w:r w:rsidR="000A2833">
        <w:rPr>
          <w:sz w:val="24"/>
          <w:szCs w:val="24"/>
        </w:rPr>
        <w:t>s</w:t>
      </w:r>
      <w:r w:rsidR="00C96012">
        <w:rPr>
          <w:sz w:val="24"/>
          <w:szCs w:val="24"/>
        </w:rPr>
        <w:t>, because they are spread across the ERCOT grid</w:t>
      </w:r>
      <w:r w:rsidR="006D37B1">
        <w:rPr>
          <w:sz w:val="24"/>
          <w:szCs w:val="24"/>
        </w:rPr>
        <w:t>.</w:t>
      </w:r>
      <w:r w:rsidR="00C96012">
        <w:rPr>
          <w:rStyle w:val="FootnoteReference"/>
          <w:sz w:val="24"/>
          <w:szCs w:val="24"/>
        </w:rPr>
        <w:footnoteReference w:id="39"/>
      </w:r>
      <w:r w:rsidR="00C27899">
        <w:rPr>
          <w:sz w:val="24"/>
          <w:szCs w:val="24"/>
        </w:rPr>
        <w:t xml:space="preserve">  Staff would review the costs</w:t>
      </w:r>
      <w:r w:rsidR="00682B26">
        <w:rPr>
          <w:sz w:val="24"/>
          <w:szCs w:val="24"/>
        </w:rPr>
        <w:t xml:space="preserve"> consistent with the public interest</w:t>
      </w:r>
      <w:r w:rsidR="00C27899">
        <w:rPr>
          <w:sz w:val="24"/>
          <w:szCs w:val="24"/>
        </w:rPr>
        <w:t xml:space="preserve">, </w:t>
      </w:r>
      <w:r w:rsidR="00682B26">
        <w:rPr>
          <w:sz w:val="24"/>
          <w:szCs w:val="24"/>
        </w:rPr>
        <w:t xml:space="preserve">but with Staff </w:t>
      </w:r>
      <w:r w:rsidR="001C738A">
        <w:rPr>
          <w:sz w:val="24"/>
          <w:szCs w:val="24"/>
        </w:rPr>
        <w:t xml:space="preserve">alone </w:t>
      </w:r>
      <w:r w:rsidR="000C6452">
        <w:rPr>
          <w:sz w:val="24"/>
          <w:szCs w:val="24"/>
        </w:rPr>
        <w:t>reviewing the costs</w:t>
      </w:r>
      <w:r w:rsidR="00682B26">
        <w:rPr>
          <w:sz w:val="24"/>
          <w:szCs w:val="24"/>
        </w:rPr>
        <w:t xml:space="preserve"> there would be a greater likelihood that imprudent or unreasonable costs would pass undetected into wholesale rates and become part of the costs of the grid.  </w:t>
      </w:r>
      <w:r w:rsidR="006D37B1">
        <w:rPr>
          <w:sz w:val="24"/>
          <w:szCs w:val="24"/>
        </w:rPr>
        <w:t>L</w:t>
      </w:r>
      <w:r w:rsidR="009946E8">
        <w:rPr>
          <w:sz w:val="24"/>
          <w:szCs w:val="24"/>
        </w:rPr>
        <w:t xml:space="preserve">ess </w:t>
      </w:r>
      <w:r w:rsidR="00682B26">
        <w:rPr>
          <w:sz w:val="24"/>
          <w:szCs w:val="24"/>
        </w:rPr>
        <w:t>extensive</w:t>
      </w:r>
      <w:r>
        <w:rPr>
          <w:sz w:val="24"/>
          <w:szCs w:val="24"/>
        </w:rPr>
        <w:t xml:space="preserve"> review of </w:t>
      </w:r>
      <w:r w:rsidR="001C738A">
        <w:rPr>
          <w:sz w:val="24"/>
          <w:szCs w:val="24"/>
        </w:rPr>
        <w:t xml:space="preserve">common </w:t>
      </w:r>
      <w:r>
        <w:rPr>
          <w:sz w:val="24"/>
          <w:szCs w:val="24"/>
        </w:rPr>
        <w:t xml:space="preserve">costs </w:t>
      </w:r>
      <w:r w:rsidR="00682B26">
        <w:rPr>
          <w:sz w:val="24"/>
          <w:szCs w:val="24"/>
        </w:rPr>
        <w:t xml:space="preserve">would be expected to </w:t>
      </w:r>
      <w:r>
        <w:rPr>
          <w:sz w:val="24"/>
          <w:szCs w:val="24"/>
        </w:rPr>
        <w:t>result</w:t>
      </w:r>
      <w:r w:rsidR="00682B26">
        <w:rPr>
          <w:sz w:val="24"/>
          <w:szCs w:val="24"/>
        </w:rPr>
        <w:t xml:space="preserve"> in excessive</w:t>
      </w:r>
      <w:r>
        <w:rPr>
          <w:sz w:val="24"/>
          <w:szCs w:val="24"/>
        </w:rPr>
        <w:t xml:space="preserve"> </w:t>
      </w:r>
      <w:r w:rsidR="001C738A">
        <w:rPr>
          <w:sz w:val="24"/>
          <w:szCs w:val="24"/>
        </w:rPr>
        <w:t xml:space="preserve">common </w:t>
      </w:r>
      <w:r>
        <w:rPr>
          <w:sz w:val="24"/>
          <w:szCs w:val="24"/>
        </w:rPr>
        <w:t xml:space="preserve">costs on the grid, including costs that would have been disallowed </w:t>
      </w:r>
      <w:r w:rsidR="00CF6953">
        <w:rPr>
          <w:sz w:val="24"/>
          <w:szCs w:val="24"/>
        </w:rPr>
        <w:t xml:space="preserve">if </w:t>
      </w:r>
      <w:r w:rsidR="009946E8">
        <w:rPr>
          <w:sz w:val="24"/>
          <w:szCs w:val="24"/>
        </w:rPr>
        <w:t xml:space="preserve">they </w:t>
      </w:r>
      <w:r w:rsidR="00CF6953">
        <w:rPr>
          <w:sz w:val="24"/>
          <w:szCs w:val="24"/>
        </w:rPr>
        <w:t xml:space="preserve">had </w:t>
      </w:r>
      <w:r>
        <w:rPr>
          <w:sz w:val="24"/>
          <w:szCs w:val="24"/>
        </w:rPr>
        <w:t xml:space="preserve">been </w:t>
      </w:r>
      <w:r w:rsidR="000C6452">
        <w:rPr>
          <w:sz w:val="24"/>
          <w:szCs w:val="24"/>
        </w:rPr>
        <w:t xml:space="preserve">more </w:t>
      </w:r>
      <w:r w:rsidR="00682B26">
        <w:rPr>
          <w:sz w:val="24"/>
          <w:szCs w:val="24"/>
        </w:rPr>
        <w:t>extensively</w:t>
      </w:r>
      <w:r w:rsidR="00A2161D">
        <w:rPr>
          <w:sz w:val="24"/>
          <w:szCs w:val="24"/>
        </w:rPr>
        <w:t xml:space="preserve"> </w:t>
      </w:r>
      <w:r w:rsidR="00D92C29">
        <w:rPr>
          <w:sz w:val="24"/>
          <w:szCs w:val="24"/>
        </w:rPr>
        <w:t>reviewed.</w:t>
      </w:r>
    </w:p>
    <w:p w:rsidR="004A6B6A" w:rsidRDefault="006D37B1" w:rsidP="003C7BCB">
      <w:pPr>
        <w:spacing w:line="480" w:lineRule="auto"/>
        <w:ind w:left="720" w:firstLine="720"/>
        <w:jc w:val="both"/>
        <w:rPr>
          <w:sz w:val="24"/>
          <w:szCs w:val="24"/>
        </w:rPr>
      </w:pPr>
      <w:r>
        <w:rPr>
          <w:sz w:val="24"/>
          <w:szCs w:val="24"/>
        </w:rPr>
        <w:t>Were</w:t>
      </w:r>
      <w:r w:rsidR="004A6B6A">
        <w:rPr>
          <w:sz w:val="24"/>
          <w:szCs w:val="24"/>
        </w:rPr>
        <w:t xml:space="preserve"> </w:t>
      </w:r>
      <w:r>
        <w:rPr>
          <w:sz w:val="24"/>
          <w:szCs w:val="24"/>
        </w:rPr>
        <w:t>the uplifting</w:t>
      </w:r>
      <w:r w:rsidR="003C7BCB">
        <w:rPr>
          <w:sz w:val="24"/>
          <w:szCs w:val="24"/>
        </w:rPr>
        <w:t xml:space="preserve"> </w:t>
      </w:r>
      <w:r>
        <w:rPr>
          <w:sz w:val="24"/>
          <w:szCs w:val="24"/>
        </w:rPr>
        <w:t>approach adopted by</w:t>
      </w:r>
      <w:r w:rsidR="003C7BCB">
        <w:rPr>
          <w:sz w:val="24"/>
          <w:szCs w:val="24"/>
        </w:rPr>
        <w:t xml:space="preserve"> </w:t>
      </w:r>
      <w:r w:rsidR="004A6B6A">
        <w:rPr>
          <w:sz w:val="24"/>
          <w:szCs w:val="24"/>
        </w:rPr>
        <w:t xml:space="preserve">all </w:t>
      </w:r>
      <w:r w:rsidR="003C7BCB">
        <w:rPr>
          <w:sz w:val="24"/>
          <w:szCs w:val="24"/>
        </w:rPr>
        <w:t>TSPs</w:t>
      </w:r>
      <w:r w:rsidR="004A6B6A">
        <w:rPr>
          <w:sz w:val="24"/>
          <w:szCs w:val="24"/>
        </w:rPr>
        <w:t xml:space="preserve">, over time the excessive </w:t>
      </w:r>
      <w:r w:rsidR="001C738A">
        <w:rPr>
          <w:sz w:val="24"/>
          <w:szCs w:val="24"/>
        </w:rPr>
        <w:t xml:space="preserve">common </w:t>
      </w:r>
      <w:r w:rsidR="004A6B6A">
        <w:rPr>
          <w:sz w:val="24"/>
          <w:szCs w:val="24"/>
        </w:rPr>
        <w:t xml:space="preserve">costs on the grid could grow to the </w:t>
      </w:r>
      <w:r w:rsidR="004A6B6A">
        <w:rPr>
          <w:sz w:val="24"/>
          <w:szCs w:val="24"/>
        </w:rPr>
        <w:lastRenderedPageBreak/>
        <w:t xml:space="preserve">extent that </w:t>
      </w:r>
      <w:r w:rsidR="00C8262C">
        <w:rPr>
          <w:sz w:val="24"/>
          <w:szCs w:val="24"/>
        </w:rPr>
        <w:t>CEHE</w:t>
      </w:r>
      <w:r w:rsidR="004A6B6A">
        <w:rPr>
          <w:sz w:val="24"/>
          <w:szCs w:val="24"/>
        </w:rPr>
        <w:t>’s 25</w:t>
      </w:r>
      <w:r w:rsidR="00855726">
        <w:rPr>
          <w:sz w:val="24"/>
          <w:szCs w:val="24"/>
        </w:rPr>
        <w:t xml:space="preserve">% share of the excessive costs </w:t>
      </w:r>
      <w:r w:rsidR="001C738A">
        <w:rPr>
          <w:sz w:val="24"/>
          <w:szCs w:val="24"/>
        </w:rPr>
        <w:t>(</w:t>
      </w:r>
      <w:r w:rsidR="00855726">
        <w:rPr>
          <w:sz w:val="24"/>
          <w:szCs w:val="24"/>
        </w:rPr>
        <w:t>in the TCOS of all TSPs on the grid</w:t>
      </w:r>
      <w:r w:rsidR="001C738A">
        <w:rPr>
          <w:sz w:val="24"/>
          <w:szCs w:val="24"/>
        </w:rPr>
        <w:t>)</w:t>
      </w:r>
      <w:r w:rsidR="00FB5CD0">
        <w:rPr>
          <w:sz w:val="24"/>
          <w:szCs w:val="24"/>
        </w:rPr>
        <w:t xml:space="preserve"> w</w:t>
      </w:r>
      <w:r w:rsidR="004A6B6A">
        <w:rPr>
          <w:sz w:val="24"/>
          <w:szCs w:val="24"/>
        </w:rPr>
        <w:t xml:space="preserve">ould exceed the costs avoided by </w:t>
      </w:r>
      <w:r w:rsidR="00C8262C">
        <w:rPr>
          <w:sz w:val="24"/>
          <w:szCs w:val="24"/>
        </w:rPr>
        <w:t>CEHE</w:t>
      </w:r>
      <w:r>
        <w:rPr>
          <w:sz w:val="24"/>
          <w:szCs w:val="24"/>
        </w:rPr>
        <w:t xml:space="preserve">’s </w:t>
      </w:r>
      <w:r w:rsidR="004A6B6A">
        <w:rPr>
          <w:sz w:val="24"/>
          <w:szCs w:val="24"/>
        </w:rPr>
        <w:t xml:space="preserve">retail customers </w:t>
      </w:r>
      <w:r w:rsidR="00855726">
        <w:rPr>
          <w:sz w:val="24"/>
          <w:szCs w:val="24"/>
        </w:rPr>
        <w:t xml:space="preserve">by uplifting </w:t>
      </w:r>
      <w:r w:rsidR="00C8262C">
        <w:rPr>
          <w:sz w:val="24"/>
          <w:szCs w:val="24"/>
        </w:rPr>
        <w:t>CEHE</w:t>
      </w:r>
      <w:r w:rsidR="00855726">
        <w:rPr>
          <w:sz w:val="24"/>
          <w:szCs w:val="24"/>
        </w:rPr>
        <w:t>-specific</w:t>
      </w:r>
      <w:r w:rsidR="004A6B6A">
        <w:rPr>
          <w:sz w:val="24"/>
          <w:szCs w:val="24"/>
        </w:rPr>
        <w:t xml:space="preserve"> </w:t>
      </w:r>
      <w:r w:rsidR="00C42C6A">
        <w:rPr>
          <w:sz w:val="24"/>
          <w:szCs w:val="24"/>
        </w:rPr>
        <w:t xml:space="preserve">common </w:t>
      </w:r>
      <w:r w:rsidR="004A6B6A">
        <w:rPr>
          <w:sz w:val="24"/>
          <w:szCs w:val="24"/>
        </w:rPr>
        <w:t>costs to the grid</w:t>
      </w:r>
      <w:r w:rsidR="00855726" w:rsidRPr="00855726">
        <w:rPr>
          <w:sz w:val="24"/>
          <w:szCs w:val="24"/>
        </w:rPr>
        <w:t xml:space="preserve"> </w:t>
      </w:r>
      <w:r w:rsidR="00855726">
        <w:rPr>
          <w:sz w:val="24"/>
          <w:szCs w:val="24"/>
        </w:rPr>
        <w:t>in this proceeding</w:t>
      </w:r>
      <w:r w:rsidR="004A6B6A">
        <w:rPr>
          <w:sz w:val="24"/>
          <w:szCs w:val="24"/>
        </w:rPr>
        <w:t>.</w:t>
      </w:r>
      <w:r w:rsidR="00C96012">
        <w:rPr>
          <w:sz w:val="24"/>
          <w:szCs w:val="24"/>
        </w:rPr>
        <w:t xml:space="preserve">  </w:t>
      </w:r>
      <w:r w:rsidR="00CC67D1" w:rsidRPr="000A2833">
        <w:rPr>
          <w:sz w:val="24"/>
          <w:szCs w:val="24"/>
        </w:rPr>
        <w:t xml:space="preserve">Put differently, </w:t>
      </w:r>
      <w:r w:rsidR="00695CC9" w:rsidRPr="000A2833">
        <w:rPr>
          <w:sz w:val="24"/>
          <w:szCs w:val="24"/>
        </w:rPr>
        <w:t xml:space="preserve">from the perspective of </w:t>
      </w:r>
      <w:r w:rsidR="00283375">
        <w:rPr>
          <w:sz w:val="24"/>
          <w:szCs w:val="24"/>
        </w:rPr>
        <w:t>the Company</w:t>
      </w:r>
      <w:r w:rsidR="00695CC9" w:rsidRPr="000A2833">
        <w:rPr>
          <w:sz w:val="24"/>
          <w:szCs w:val="24"/>
        </w:rPr>
        <w:t>’s retail customers, avoidance of inappropriate uplifting of costs may increase retail distribution rates</w:t>
      </w:r>
      <w:r w:rsidR="000A2833" w:rsidRPr="000A2833">
        <w:rPr>
          <w:sz w:val="24"/>
          <w:szCs w:val="24"/>
        </w:rPr>
        <w:t xml:space="preserve"> slightly</w:t>
      </w:r>
      <w:r w:rsidR="00C0132B">
        <w:rPr>
          <w:sz w:val="24"/>
          <w:szCs w:val="24"/>
        </w:rPr>
        <w:t xml:space="preserve">, </w:t>
      </w:r>
      <w:r w:rsidR="00695CC9" w:rsidRPr="000A2833">
        <w:rPr>
          <w:sz w:val="24"/>
          <w:szCs w:val="24"/>
        </w:rPr>
        <w:t>but</w:t>
      </w:r>
      <w:r w:rsidR="000A2833" w:rsidRPr="000A2833">
        <w:rPr>
          <w:sz w:val="24"/>
          <w:szCs w:val="24"/>
        </w:rPr>
        <w:t>,</w:t>
      </w:r>
      <w:r w:rsidR="00695CC9" w:rsidRPr="000A2833">
        <w:rPr>
          <w:sz w:val="24"/>
          <w:szCs w:val="24"/>
        </w:rPr>
        <w:t xml:space="preserve"> if applied consistently</w:t>
      </w:r>
      <w:r w:rsidR="000A2833" w:rsidRPr="000A2833">
        <w:rPr>
          <w:sz w:val="24"/>
          <w:szCs w:val="24"/>
        </w:rPr>
        <w:t>,</w:t>
      </w:r>
      <w:r w:rsidR="00695CC9" w:rsidRPr="000A2833">
        <w:rPr>
          <w:sz w:val="24"/>
          <w:szCs w:val="24"/>
        </w:rPr>
        <w:t xml:space="preserve"> w</w:t>
      </w:r>
      <w:r w:rsidR="00682B26">
        <w:rPr>
          <w:sz w:val="24"/>
          <w:szCs w:val="24"/>
        </w:rPr>
        <w:t>ould be expected to</w:t>
      </w:r>
      <w:r w:rsidR="00695CC9" w:rsidRPr="000A2833">
        <w:rPr>
          <w:sz w:val="24"/>
          <w:szCs w:val="24"/>
        </w:rPr>
        <w:t xml:space="preserve"> lower their transmission system</w:t>
      </w:r>
      <w:r w:rsidR="000A2833">
        <w:rPr>
          <w:sz w:val="24"/>
          <w:szCs w:val="24"/>
        </w:rPr>
        <w:t xml:space="preserve"> charges </w:t>
      </w:r>
      <w:r w:rsidR="00682B26">
        <w:rPr>
          <w:sz w:val="24"/>
          <w:szCs w:val="24"/>
        </w:rPr>
        <w:t xml:space="preserve">over time </w:t>
      </w:r>
      <w:r w:rsidR="000A2833">
        <w:rPr>
          <w:sz w:val="24"/>
          <w:szCs w:val="24"/>
        </w:rPr>
        <w:t>by a greater amount.</w:t>
      </w:r>
    </w:p>
    <w:p w:rsidR="004A6B6A" w:rsidRDefault="004A6B6A" w:rsidP="004A6B6A">
      <w:pPr>
        <w:spacing w:line="480" w:lineRule="auto"/>
        <w:ind w:left="720" w:hanging="720"/>
        <w:jc w:val="both"/>
        <w:rPr>
          <w:sz w:val="24"/>
          <w:szCs w:val="24"/>
        </w:rPr>
      </w:pPr>
      <w:r>
        <w:rPr>
          <w:sz w:val="24"/>
          <w:szCs w:val="24"/>
        </w:rPr>
        <w:tab/>
      </w:r>
      <w:r>
        <w:rPr>
          <w:sz w:val="24"/>
          <w:szCs w:val="24"/>
        </w:rPr>
        <w:tab/>
        <w:t xml:space="preserve">No matter the specific impact on </w:t>
      </w:r>
      <w:r w:rsidR="00C8262C">
        <w:rPr>
          <w:sz w:val="24"/>
          <w:szCs w:val="24"/>
        </w:rPr>
        <w:t>CEHE</w:t>
      </w:r>
      <w:r>
        <w:rPr>
          <w:sz w:val="24"/>
          <w:szCs w:val="24"/>
        </w:rPr>
        <w:t xml:space="preserve">’s retail customers, on the whole excessive costs on the grid would </w:t>
      </w:r>
      <w:r w:rsidR="00B608BD">
        <w:rPr>
          <w:sz w:val="24"/>
          <w:szCs w:val="24"/>
        </w:rPr>
        <w:t xml:space="preserve">be expected to </w:t>
      </w:r>
      <w:r>
        <w:rPr>
          <w:sz w:val="24"/>
          <w:szCs w:val="24"/>
        </w:rPr>
        <w:t xml:space="preserve">result in higher all-in electric charges for ERCOT ratepayers.  </w:t>
      </w:r>
      <w:r w:rsidR="005719E2">
        <w:rPr>
          <w:sz w:val="24"/>
          <w:szCs w:val="24"/>
        </w:rPr>
        <w:t>Inappropriate u</w:t>
      </w:r>
      <w:r>
        <w:rPr>
          <w:sz w:val="24"/>
          <w:szCs w:val="24"/>
        </w:rPr>
        <w:t>plifting of costs to the grid therefore represents poor ratemaking policy.</w:t>
      </w:r>
    </w:p>
    <w:p w:rsidR="004A6B6A" w:rsidRPr="009414CF" w:rsidRDefault="004A6B6A" w:rsidP="004A6B6A">
      <w:pPr>
        <w:spacing w:line="480" w:lineRule="auto"/>
        <w:jc w:val="both"/>
        <w:rPr>
          <w:sz w:val="24"/>
          <w:szCs w:val="24"/>
        </w:rPr>
      </w:pPr>
      <w:r w:rsidRPr="00801E50">
        <w:rPr>
          <w:b/>
          <w:sz w:val="24"/>
          <w:szCs w:val="24"/>
        </w:rPr>
        <w:t>Q.</w:t>
      </w:r>
      <w:r w:rsidRPr="00801E50">
        <w:rPr>
          <w:b/>
          <w:sz w:val="24"/>
          <w:szCs w:val="24"/>
        </w:rPr>
        <w:tab/>
      </w:r>
      <w:r>
        <w:rPr>
          <w:b/>
          <w:sz w:val="24"/>
          <w:szCs w:val="24"/>
        </w:rPr>
        <w:t xml:space="preserve">How is </w:t>
      </w:r>
      <w:r w:rsidR="005719E2">
        <w:rPr>
          <w:b/>
          <w:sz w:val="24"/>
          <w:szCs w:val="24"/>
        </w:rPr>
        <w:t xml:space="preserve">inappropriate </w:t>
      </w:r>
      <w:r>
        <w:rPr>
          <w:b/>
          <w:sz w:val="24"/>
          <w:szCs w:val="24"/>
        </w:rPr>
        <w:t>uplifting of costs to the grid avoided?</w:t>
      </w:r>
    </w:p>
    <w:p w:rsidR="004A6B6A" w:rsidRDefault="004A6B6A" w:rsidP="007E25B0">
      <w:pPr>
        <w:spacing w:line="480" w:lineRule="auto"/>
        <w:ind w:left="720" w:hanging="720"/>
        <w:jc w:val="both"/>
        <w:rPr>
          <w:sz w:val="24"/>
          <w:szCs w:val="24"/>
        </w:rPr>
      </w:pPr>
      <w:r w:rsidRPr="00FD6CF3">
        <w:rPr>
          <w:sz w:val="24"/>
          <w:szCs w:val="24"/>
        </w:rPr>
        <w:t>A.</w:t>
      </w:r>
      <w:r w:rsidRPr="00FD6CF3">
        <w:rPr>
          <w:sz w:val="24"/>
          <w:szCs w:val="24"/>
        </w:rPr>
        <w:tab/>
      </w:r>
      <w:r>
        <w:rPr>
          <w:sz w:val="24"/>
          <w:szCs w:val="24"/>
        </w:rPr>
        <w:t xml:space="preserve">By </w:t>
      </w:r>
      <w:r w:rsidR="005719E2">
        <w:rPr>
          <w:sz w:val="24"/>
          <w:szCs w:val="24"/>
        </w:rPr>
        <w:t>diligently following the rate design rule</w:t>
      </w:r>
      <w:r w:rsidR="009E4F61">
        <w:rPr>
          <w:rStyle w:val="FootnoteReference"/>
          <w:sz w:val="24"/>
          <w:szCs w:val="24"/>
        </w:rPr>
        <w:footnoteReference w:id="40"/>
      </w:r>
      <w:r w:rsidR="005719E2">
        <w:rPr>
          <w:sz w:val="24"/>
          <w:szCs w:val="24"/>
        </w:rPr>
        <w:t xml:space="preserve"> and </w:t>
      </w:r>
      <w:r>
        <w:rPr>
          <w:sz w:val="24"/>
          <w:szCs w:val="24"/>
        </w:rPr>
        <w:t>adhering to cost causation in the fun</w:t>
      </w:r>
      <w:r w:rsidR="005719E2">
        <w:rPr>
          <w:sz w:val="24"/>
          <w:szCs w:val="24"/>
        </w:rPr>
        <w:t>ctionalization of common costs.</w:t>
      </w:r>
    </w:p>
    <w:p w:rsidR="00BA31F4" w:rsidRDefault="00BA31F4" w:rsidP="00BA31F4">
      <w:pPr>
        <w:spacing w:line="480" w:lineRule="auto"/>
        <w:ind w:left="720" w:hanging="720"/>
        <w:jc w:val="both"/>
        <w:rPr>
          <w:b/>
          <w:sz w:val="24"/>
          <w:szCs w:val="24"/>
        </w:rPr>
      </w:pPr>
      <w:r>
        <w:rPr>
          <w:b/>
          <w:sz w:val="24"/>
          <w:szCs w:val="24"/>
        </w:rPr>
        <w:t>Q.</w:t>
      </w:r>
      <w:r>
        <w:rPr>
          <w:b/>
          <w:sz w:val="24"/>
          <w:szCs w:val="24"/>
        </w:rPr>
        <w:tab/>
        <w:t xml:space="preserve">Which Company witness supports </w:t>
      </w:r>
      <w:r w:rsidR="00C8262C">
        <w:rPr>
          <w:b/>
          <w:sz w:val="24"/>
          <w:szCs w:val="24"/>
        </w:rPr>
        <w:t>CEHE</w:t>
      </w:r>
      <w:r>
        <w:rPr>
          <w:b/>
          <w:sz w:val="24"/>
          <w:szCs w:val="24"/>
        </w:rPr>
        <w:t>’s functionalization analysis?</w:t>
      </w:r>
    </w:p>
    <w:p w:rsidR="00BA31F4" w:rsidRPr="003258C6" w:rsidRDefault="00BA31F4" w:rsidP="00BA31F4">
      <w:pPr>
        <w:spacing w:line="480" w:lineRule="auto"/>
        <w:ind w:left="720" w:hanging="720"/>
        <w:jc w:val="both"/>
        <w:rPr>
          <w:sz w:val="24"/>
          <w:szCs w:val="24"/>
        </w:rPr>
      </w:pPr>
      <w:r w:rsidRPr="00EA6F73">
        <w:rPr>
          <w:sz w:val="24"/>
          <w:szCs w:val="24"/>
        </w:rPr>
        <w:t>A.</w:t>
      </w:r>
      <w:r w:rsidRPr="00EA6F73">
        <w:rPr>
          <w:sz w:val="24"/>
          <w:szCs w:val="24"/>
        </w:rPr>
        <w:tab/>
      </w:r>
      <w:r w:rsidRPr="003258C6">
        <w:rPr>
          <w:sz w:val="24"/>
          <w:szCs w:val="24"/>
        </w:rPr>
        <w:t>Kristie L. Colvin</w:t>
      </w:r>
      <w:r w:rsidR="00F93014">
        <w:rPr>
          <w:sz w:val="24"/>
          <w:szCs w:val="24"/>
        </w:rPr>
        <w:t>.</w:t>
      </w:r>
    </w:p>
    <w:p w:rsidR="00BA31F4" w:rsidRPr="00460292" w:rsidRDefault="00BA31F4" w:rsidP="00BA31F4">
      <w:pPr>
        <w:spacing w:line="480" w:lineRule="auto"/>
        <w:ind w:left="720" w:hanging="720"/>
        <w:jc w:val="both"/>
        <w:rPr>
          <w:b/>
          <w:sz w:val="24"/>
          <w:szCs w:val="24"/>
        </w:rPr>
      </w:pPr>
      <w:r w:rsidRPr="00460292">
        <w:rPr>
          <w:b/>
          <w:sz w:val="24"/>
          <w:szCs w:val="24"/>
        </w:rPr>
        <w:t>Q.</w:t>
      </w:r>
      <w:r w:rsidRPr="00460292">
        <w:rPr>
          <w:b/>
          <w:sz w:val="24"/>
          <w:szCs w:val="24"/>
        </w:rPr>
        <w:tab/>
      </w:r>
      <w:r w:rsidR="00B95FCB">
        <w:rPr>
          <w:b/>
          <w:sz w:val="24"/>
          <w:szCs w:val="24"/>
        </w:rPr>
        <w:t>Do you have</w:t>
      </w:r>
      <w:r w:rsidRPr="00460292">
        <w:rPr>
          <w:b/>
          <w:sz w:val="24"/>
          <w:szCs w:val="24"/>
        </w:rPr>
        <w:t xml:space="preserve"> adjustment</w:t>
      </w:r>
      <w:r w:rsidR="00B95FCB">
        <w:rPr>
          <w:b/>
          <w:sz w:val="24"/>
          <w:szCs w:val="24"/>
        </w:rPr>
        <w:t>s</w:t>
      </w:r>
      <w:r w:rsidR="00971CD4">
        <w:rPr>
          <w:b/>
          <w:sz w:val="24"/>
          <w:szCs w:val="24"/>
        </w:rPr>
        <w:t xml:space="preserve"> to </w:t>
      </w:r>
      <w:r w:rsidR="00C8262C">
        <w:rPr>
          <w:b/>
          <w:sz w:val="24"/>
          <w:szCs w:val="24"/>
        </w:rPr>
        <w:t>CEHE</w:t>
      </w:r>
      <w:r w:rsidRPr="00460292">
        <w:rPr>
          <w:b/>
          <w:sz w:val="24"/>
          <w:szCs w:val="24"/>
        </w:rPr>
        <w:t xml:space="preserve">’s functionalization to provide for a more </w:t>
      </w:r>
      <w:r w:rsidR="00146E03">
        <w:rPr>
          <w:b/>
          <w:sz w:val="24"/>
          <w:szCs w:val="24"/>
        </w:rPr>
        <w:t>cost-based</w:t>
      </w:r>
      <w:r w:rsidRPr="00460292">
        <w:rPr>
          <w:b/>
          <w:sz w:val="24"/>
          <w:szCs w:val="24"/>
        </w:rPr>
        <w:t xml:space="preserve"> assignment of common costs to </w:t>
      </w:r>
      <w:r w:rsidRPr="00460292">
        <w:rPr>
          <w:b/>
          <w:sz w:val="24"/>
          <w:szCs w:val="24"/>
        </w:rPr>
        <w:lastRenderedPageBreak/>
        <w:t>wholesale transmission</w:t>
      </w:r>
      <w:r w:rsidR="00B95FCB">
        <w:rPr>
          <w:b/>
          <w:sz w:val="24"/>
          <w:szCs w:val="24"/>
        </w:rPr>
        <w:t>,</w:t>
      </w:r>
      <w:r w:rsidRPr="00460292">
        <w:rPr>
          <w:b/>
          <w:sz w:val="24"/>
          <w:szCs w:val="24"/>
        </w:rPr>
        <w:t xml:space="preserve"> </w:t>
      </w:r>
      <w:r>
        <w:rPr>
          <w:b/>
          <w:sz w:val="24"/>
          <w:szCs w:val="24"/>
        </w:rPr>
        <w:t>consistent with the Filing Package</w:t>
      </w:r>
      <w:r w:rsidR="00146E03">
        <w:rPr>
          <w:b/>
          <w:sz w:val="24"/>
          <w:szCs w:val="24"/>
        </w:rPr>
        <w:t>, the rate design rule,</w:t>
      </w:r>
      <w:r>
        <w:rPr>
          <w:b/>
          <w:sz w:val="24"/>
          <w:szCs w:val="24"/>
        </w:rPr>
        <w:t xml:space="preserve"> and cost causation</w:t>
      </w:r>
      <w:r w:rsidRPr="00460292">
        <w:rPr>
          <w:b/>
          <w:sz w:val="24"/>
          <w:szCs w:val="24"/>
        </w:rPr>
        <w:t>?</w:t>
      </w:r>
    </w:p>
    <w:p w:rsidR="00BA31F4" w:rsidRDefault="00BA31F4" w:rsidP="00BA31F4">
      <w:pPr>
        <w:spacing w:line="480" w:lineRule="auto"/>
        <w:ind w:left="720" w:hanging="720"/>
        <w:jc w:val="both"/>
        <w:rPr>
          <w:sz w:val="24"/>
          <w:szCs w:val="24"/>
        </w:rPr>
      </w:pPr>
      <w:r>
        <w:rPr>
          <w:sz w:val="24"/>
          <w:szCs w:val="24"/>
        </w:rPr>
        <w:t>A.</w:t>
      </w:r>
      <w:r>
        <w:rPr>
          <w:sz w:val="24"/>
          <w:szCs w:val="24"/>
        </w:rPr>
        <w:tab/>
      </w:r>
      <w:r w:rsidRPr="00B14560">
        <w:rPr>
          <w:sz w:val="24"/>
          <w:szCs w:val="24"/>
        </w:rPr>
        <w:t xml:space="preserve">Yes.  </w:t>
      </w:r>
      <w:r w:rsidR="00B14560" w:rsidRPr="00B14560">
        <w:rPr>
          <w:sz w:val="24"/>
          <w:szCs w:val="24"/>
        </w:rPr>
        <w:t>I recommend adjustments to the functionalization</w:t>
      </w:r>
      <w:r w:rsidRPr="00B14560">
        <w:rPr>
          <w:sz w:val="24"/>
          <w:szCs w:val="24"/>
        </w:rPr>
        <w:t xml:space="preserve"> of </w:t>
      </w:r>
      <w:r w:rsidR="00401AD9">
        <w:rPr>
          <w:sz w:val="24"/>
          <w:szCs w:val="24"/>
        </w:rPr>
        <w:t>A</w:t>
      </w:r>
      <w:r w:rsidR="00E05B2A" w:rsidRPr="00B14560">
        <w:rPr>
          <w:sz w:val="24"/>
          <w:szCs w:val="24"/>
        </w:rPr>
        <w:t>ccount 408.1 (Texas gross margins tax)</w:t>
      </w:r>
      <w:r w:rsidR="00E05B2A">
        <w:rPr>
          <w:sz w:val="24"/>
          <w:szCs w:val="24"/>
        </w:rPr>
        <w:t xml:space="preserve">, </w:t>
      </w:r>
      <w:r w:rsidR="00401AD9">
        <w:rPr>
          <w:sz w:val="24"/>
          <w:szCs w:val="24"/>
        </w:rPr>
        <w:t>A</w:t>
      </w:r>
      <w:r w:rsidR="00B14560" w:rsidRPr="00B14560">
        <w:rPr>
          <w:sz w:val="24"/>
          <w:szCs w:val="24"/>
        </w:rPr>
        <w:t>ccount</w:t>
      </w:r>
      <w:r w:rsidRPr="00B14560">
        <w:rPr>
          <w:sz w:val="24"/>
          <w:szCs w:val="24"/>
        </w:rPr>
        <w:t xml:space="preserve"> 930</w:t>
      </w:r>
      <w:r w:rsidR="00B14560" w:rsidRPr="00B14560">
        <w:rPr>
          <w:sz w:val="24"/>
          <w:szCs w:val="24"/>
        </w:rPr>
        <w:t>.</w:t>
      </w:r>
      <w:r w:rsidRPr="00B14560">
        <w:rPr>
          <w:sz w:val="24"/>
          <w:szCs w:val="24"/>
        </w:rPr>
        <w:t xml:space="preserve">2 </w:t>
      </w:r>
      <w:r w:rsidR="00B14560" w:rsidRPr="00B14560">
        <w:rPr>
          <w:sz w:val="24"/>
          <w:szCs w:val="24"/>
        </w:rPr>
        <w:t>(miscellaneous</w:t>
      </w:r>
      <w:r w:rsidRPr="00B14560">
        <w:rPr>
          <w:sz w:val="24"/>
          <w:szCs w:val="24"/>
        </w:rPr>
        <w:t xml:space="preserve"> gen</w:t>
      </w:r>
      <w:r w:rsidR="00B14560" w:rsidRPr="00B14560">
        <w:rPr>
          <w:sz w:val="24"/>
          <w:szCs w:val="24"/>
        </w:rPr>
        <w:t>eral</w:t>
      </w:r>
      <w:r w:rsidRPr="00B14560">
        <w:rPr>
          <w:sz w:val="24"/>
          <w:szCs w:val="24"/>
        </w:rPr>
        <w:t xml:space="preserve"> expense</w:t>
      </w:r>
      <w:r w:rsidR="00B14560" w:rsidRPr="00B14560">
        <w:rPr>
          <w:sz w:val="24"/>
          <w:szCs w:val="24"/>
        </w:rPr>
        <w:t>)</w:t>
      </w:r>
      <w:r w:rsidR="00E05B2A">
        <w:rPr>
          <w:sz w:val="24"/>
          <w:szCs w:val="24"/>
        </w:rPr>
        <w:t xml:space="preserve">, </w:t>
      </w:r>
      <w:r w:rsidR="00B14560" w:rsidRPr="00B14560">
        <w:rPr>
          <w:sz w:val="24"/>
          <w:szCs w:val="24"/>
        </w:rPr>
        <w:t>and Unprotecte</w:t>
      </w:r>
      <w:r w:rsidR="001079D6">
        <w:rPr>
          <w:sz w:val="24"/>
          <w:szCs w:val="24"/>
        </w:rPr>
        <w:t>d Excess Deferred Income Taxes under Rider UEDIT</w:t>
      </w:r>
      <w:r w:rsidR="00B14560" w:rsidRPr="00B14560">
        <w:rPr>
          <w:sz w:val="24"/>
          <w:szCs w:val="24"/>
        </w:rPr>
        <w:t>.</w:t>
      </w:r>
      <w:r w:rsidR="00924757">
        <w:rPr>
          <w:rStyle w:val="FootnoteReference"/>
          <w:sz w:val="24"/>
          <w:szCs w:val="24"/>
        </w:rPr>
        <w:footnoteReference w:id="41"/>
      </w:r>
      <w:r w:rsidR="00B14560" w:rsidRPr="00B14560">
        <w:rPr>
          <w:sz w:val="24"/>
          <w:szCs w:val="24"/>
        </w:rPr>
        <w:t xml:space="preserve">  </w:t>
      </w:r>
      <w:r w:rsidRPr="00B14560">
        <w:rPr>
          <w:sz w:val="24"/>
          <w:szCs w:val="24"/>
        </w:rPr>
        <w:t>Each adjustment is discussed below.</w:t>
      </w:r>
    </w:p>
    <w:p w:rsidR="004A6B6A" w:rsidRDefault="004A6B6A" w:rsidP="004A6B6A">
      <w:pPr>
        <w:spacing w:line="480" w:lineRule="auto"/>
        <w:ind w:left="720" w:hanging="720"/>
        <w:jc w:val="both"/>
        <w:rPr>
          <w:b/>
          <w:sz w:val="24"/>
          <w:szCs w:val="24"/>
          <w:u w:val="single"/>
        </w:rPr>
      </w:pPr>
      <w:r>
        <w:rPr>
          <w:b/>
          <w:sz w:val="24"/>
          <w:szCs w:val="24"/>
          <w:u w:val="single"/>
        </w:rPr>
        <w:t xml:space="preserve">Functionalization of </w:t>
      </w:r>
      <w:r w:rsidRPr="004D42A2">
        <w:rPr>
          <w:b/>
          <w:sz w:val="24"/>
          <w:szCs w:val="24"/>
          <w:u w:val="single"/>
        </w:rPr>
        <w:t>Texas Margins Tax</w:t>
      </w:r>
    </w:p>
    <w:p w:rsidR="004A6B6A" w:rsidRDefault="004A6B6A" w:rsidP="004A6B6A">
      <w:pPr>
        <w:spacing w:line="480" w:lineRule="auto"/>
        <w:jc w:val="both"/>
        <w:rPr>
          <w:b/>
          <w:sz w:val="24"/>
          <w:szCs w:val="24"/>
        </w:rPr>
      </w:pPr>
      <w:r>
        <w:rPr>
          <w:b/>
          <w:sz w:val="24"/>
          <w:szCs w:val="24"/>
        </w:rPr>
        <w:t>Q.</w:t>
      </w:r>
      <w:r>
        <w:rPr>
          <w:b/>
          <w:sz w:val="24"/>
          <w:szCs w:val="24"/>
        </w:rPr>
        <w:tab/>
        <w:t>What is Texas Margins Tax (or franchise tax)?</w:t>
      </w:r>
    </w:p>
    <w:p w:rsidR="004A6B6A" w:rsidRDefault="004A6B6A" w:rsidP="004A6B6A">
      <w:pPr>
        <w:spacing w:line="480" w:lineRule="auto"/>
        <w:ind w:left="720" w:hanging="720"/>
        <w:jc w:val="both"/>
        <w:rPr>
          <w:sz w:val="24"/>
          <w:szCs w:val="24"/>
        </w:rPr>
      </w:pPr>
      <w:r w:rsidRPr="004D42A2">
        <w:rPr>
          <w:sz w:val="24"/>
          <w:szCs w:val="24"/>
        </w:rPr>
        <w:t>A.</w:t>
      </w:r>
      <w:r w:rsidRPr="004D42A2">
        <w:rPr>
          <w:sz w:val="24"/>
          <w:szCs w:val="24"/>
        </w:rPr>
        <w:tab/>
      </w:r>
      <w:r>
        <w:rPr>
          <w:sz w:val="24"/>
          <w:szCs w:val="24"/>
        </w:rPr>
        <w:t>It is a privilege tax levied on entities doing business in Texas.</w:t>
      </w:r>
    </w:p>
    <w:p w:rsidR="004A6B6A" w:rsidRDefault="004A6B6A" w:rsidP="004A6B6A">
      <w:pPr>
        <w:spacing w:line="480" w:lineRule="auto"/>
        <w:ind w:left="720" w:hanging="720"/>
        <w:jc w:val="both"/>
        <w:rPr>
          <w:b/>
          <w:sz w:val="24"/>
          <w:szCs w:val="24"/>
        </w:rPr>
      </w:pPr>
      <w:r w:rsidRPr="00A77397">
        <w:rPr>
          <w:b/>
          <w:sz w:val="24"/>
          <w:szCs w:val="24"/>
        </w:rPr>
        <w:t>Q.</w:t>
      </w:r>
      <w:r w:rsidRPr="00A77397">
        <w:rPr>
          <w:b/>
          <w:sz w:val="24"/>
          <w:szCs w:val="24"/>
        </w:rPr>
        <w:tab/>
      </w:r>
      <w:r>
        <w:rPr>
          <w:b/>
          <w:sz w:val="24"/>
          <w:szCs w:val="24"/>
        </w:rPr>
        <w:t xml:space="preserve">How does </w:t>
      </w:r>
      <w:r w:rsidR="00C8262C">
        <w:rPr>
          <w:b/>
          <w:sz w:val="24"/>
          <w:szCs w:val="24"/>
        </w:rPr>
        <w:t>CEHE</w:t>
      </w:r>
      <w:r>
        <w:rPr>
          <w:b/>
          <w:sz w:val="24"/>
          <w:szCs w:val="24"/>
        </w:rPr>
        <w:t xml:space="preserve"> incur Texas Margins Tax?</w:t>
      </w:r>
    </w:p>
    <w:p w:rsidR="004A6B6A" w:rsidRDefault="004A6B6A" w:rsidP="000C7CE5">
      <w:pPr>
        <w:spacing w:line="480" w:lineRule="auto"/>
        <w:ind w:left="720" w:hanging="720"/>
        <w:jc w:val="both"/>
        <w:rPr>
          <w:sz w:val="24"/>
          <w:szCs w:val="24"/>
        </w:rPr>
      </w:pPr>
      <w:r w:rsidRPr="00A77397">
        <w:rPr>
          <w:sz w:val="24"/>
          <w:szCs w:val="24"/>
        </w:rPr>
        <w:t>A.</w:t>
      </w:r>
      <w:r w:rsidRPr="00A77397">
        <w:rPr>
          <w:sz w:val="24"/>
          <w:szCs w:val="24"/>
        </w:rPr>
        <w:tab/>
      </w:r>
      <w:r>
        <w:rPr>
          <w:sz w:val="24"/>
          <w:szCs w:val="24"/>
        </w:rPr>
        <w:t xml:space="preserve">Based on revenues subject to the tax.  The following table shows </w:t>
      </w:r>
      <w:r w:rsidR="00C8262C">
        <w:rPr>
          <w:sz w:val="24"/>
          <w:szCs w:val="24"/>
        </w:rPr>
        <w:t>CEHE</w:t>
      </w:r>
      <w:r>
        <w:rPr>
          <w:sz w:val="24"/>
          <w:szCs w:val="24"/>
        </w:rPr>
        <w:t>’s calculation of its requested Texas Margins Tax expense:</w:t>
      </w:r>
    </w:p>
    <w:p w:rsidR="00283375" w:rsidRDefault="00283375" w:rsidP="000C7CE5">
      <w:pPr>
        <w:spacing w:line="480" w:lineRule="auto"/>
        <w:ind w:left="720" w:hanging="720"/>
        <w:jc w:val="both"/>
        <w:rPr>
          <w:sz w:val="24"/>
          <w:szCs w:val="24"/>
        </w:rPr>
      </w:pPr>
      <w:r>
        <w:rPr>
          <w:sz w:val="24"/>
          <w:szCs w:val="24"/>
        </w:rPr>
        <w:tab/>
      </w:r>
      <w:r>
        <w:rPr>
          <w:sz w:val="24"/>
          <w:szCs w:val="24"/>
        </w:rPr>
        <w:tab/>
      </w:r>
      <w:r w:rsidRPr="00EA5BB8">
        <w:rPr>
          <w:sz w:val="24"/>
          <w:szCs w:val="24"/>
        </w:rPr>
        <w:t>Table BTM-</w:t>
      </w:r>
      <w:r w:rsidR="00EA5BB8" w:rsidRPr="00EA5BB8">
        <w:rPr>
          <w:sz w:val="24"/>
          <w:szCs w:val="24"/>
        </w:rPr>
        <w:t>1</w:t>
      </w:r>
    </w:p>
    <w:tbl>
      <w:tblPr>
        <w:tblStyle w:val="TableGrid"/>
        <w:tblW w:w="0" w:type="auto"/>
        <w:jc w:val="center"/>
        <w:tblLook w:val="04A0" w:firstRow="1" w:lastRow="0" w:firstColumn="1" w:lastColumn="0" w:noHBand="0" w:noVBand="1"/>
      </w:tblPr>
      <w:tblGrid>
        <w:gridCol w:w="2934"/>
        <w:gridCol w:w="2848"/>
      </w:tblGrid>
      <w:tr w:rsidR="004A6B6A" w:rsidRPr="009F7D70" w:rsidTr="00957068">
        <w:trPr>
          <w:jc w:val="center"/>
        </w:trPr>
        <w:tc>
          <w:tcPr>
            <w:tcW w:w="2934" w:type="dxa"/>
          </w:tcPr>
          <w:p w:rsidR="004A6B6A" w:rsidRPr="009F7D70" w:rsidRDefault="004A6B6A" w:rsidP="000C7CE5">
            <w:pPr>
              <w:jc w:val="both"/>
              <w:rPr>
                <w:sz w:val="22"/>
                <w:szCs w:val="22"/>
              </w:rPr>
            </w:pPr>
            <w:r w:rsidRPr="009F7D70">
              <w:rPr>
                <w:sz w:val="22"/>
                <w:szCs w:val="22"/>
              </w:rPr>
              <w:t>Sales [i.e., revenues]</w:t>
            </w:r>
          </w:p>
        </w:tc>
        <w:tc>
          <w:tcPr>
            <w:tcW w:w="2848" w:type="dxa"/>
          </w:tcPr>
          <w:p w:rsidR="004A6B6A" w:rsidRPr="009F7D70" w:rsidRDefault="004A6B6A" w:rsidP="000C7CE5">
            <w:pPr>
              <w:jc w:val="right"/>
              <w:rPr>
                <w:sz w:val="22"/>
                <w:szCs w:val="22"/>
              </w:rPr>
            </w:pPr>
            <w:r w:rsidRPr="009F7D70">
              <w:rPr>
                <w:sz w:val="22"/>
                <w:szCs w:val="22"/>
              </w:rPr>
              <w:t>$2,565,502,948</w:t>
            </w:r>
          </w:p>
        </w:tc>
      </w:tr>
      <w:tr w:rsidR="004A6B6A" w:rsidRPr="009F7D70" w:rsidTr="00957068">
        <w:trPr>
          <w:jc w:val="center"/>
        </w:trPr>
        <w:tc>
          <w:tcPr>
            <w:tcW w:w="2934" w:type="dxa"/>
          </w:tcPr>
          <w:p w:rsidR="004A6B6A" w:rsidRPr="009F7D70" w:rsidRDefault="004A6B6A" w:rsidP="000C7CE5">
            <w:pPr>
              <w:jc w:val="right"/>
              <w:rPr>
                <w:sz w:val="22"/>
                <w:szCs w:val="22"/>
                <w:u w:val="single"/>
              </w:rPr>
            </w:pPr>
            <w:r w:rsidRPr="009F7D70">
              <w:rPr>
                <w:sz w:val="22"/>
                <w:szCs w:val="22"/>
                <w:u w:val="single"/>
              </w:rPr>
              <w:t xml:space="preserve">Plus: </w:t>
            </w:r>
          </w:p>
        </w:tc>
        <w:tc>
          <w:tcPr>
            <w:tcW w:w="2848" w:type="dxa"/>
          </w:tcPr>
          <w:p w:rsidR="004A6B6A" w:rsidRPr="009F7D70" w:rsidRDefault="004A6B6A" w:rsidP="000C7CE5">
            <w:pPr>
              <w:jc w:val="right"/>
              <w:rPr>
                <w:sz w:val="22"/>
                <w:szCs w:val="22"/>
              </w:rPr>
            </w:pPr>
          </w:p>
        </w:tc>
      </w:tr>
      <w:tr w:rsidR="004A6B6A" w:rsidRPr="009F7D70" w:rsidTr="00957068">
        <w:trPr>
          <w:jc w:val="center"/>
        </w:trPr>
        <w:tc>
          <w:tcPr>
            <w:tcW w:w="2934" w:type="dxa"/>
          </w:tcPr>
          <w:p w:rsidR="004A6B6A" w:rsidRPr="009F7D70" w:rsidRDefault="004A6B6A" w:rsidP="000C7CE5">
            <w:pPr>
              <w:jc w:val="right"/>
              <w:rPr>
                <w:sz w:val="22"/>
                <w:szCs w:val="22"/>
              </w:rPr>
            </w:pPr>
            <w:r w:rsidRPr="009F7D70">
              <w:rPr>
                <w:sz w:val="22"/>
                <w:szCs w:val="22"/>
              </w:rPr>
              <w:t>Interest</w:t>
            </w:r>
          </w:p>
        </w:tc>
        <w:tc>
          <w:tcPr>
            <w:tcW w:w="2848" w:type="dxa"/>
          </w:tcPr>
          <w:p w:rsidR="004A6B6A" w:rsidRPr="009F7D70" w:rsidRDefault="004A6B6A" w:rsidP="000C7CE5">
            <w:pPr>
              <w:jc w:val="right"/>
              <w:rPr>
                <w:sz w:val="22"/>
                <w:szCs w:val="22"/>
              </w:rPr>
            </w:pPr>
            <w:r w:rsidRPr="009F7D70">
              <w:rPr>
                <w:sz w:val="22"/>
                <w:szCs w:val="22"/>
              </w:rPr>
              <w:t>1,685,520</w:t>
            </w:r>
          </w:p>
        </w:tc>
      </w:tr>
      <w:tr w:rsidR="004A6B6A" w:rsidRPr="009F7D70" w:rsidTr="00957068">
        <w:trPr>
          <w:jc w:val="center"/>
        </w:trPr>
        <w:tc>
          <w:tcPr>
            <w:tcW w:w="2934" w:type="dxa"/>
          </w:tcPr>
          <w:p w:rsidR="004A6B6A" w:rsidRPr="009F7D70" w:rsidRDefault="004A6B6A" w:rsidP="000C7CE5">
            <w:pPr>
              <w:jc w:val="right"/>
              <w:rPr>
                <w:sz w:val="22"/>
                <w:szCs w:val="22"/>
              </w:rPr>
            </w:pPr>
            <w:r w:rsidRPr="009F7D70">
              <w:rPr>
                <w:sz w:val="22"/>
                <w:szCs w:val="22"/>
              </w:rPr>
              <w:t>Capital gain</w:t>
            </w:r>
          </w:p>
        </w:tc>
        <w:tc>
          <w:tcPr>
            <w:tcW w:w="2848" w:type="dxa"/>
          </w:tcPr>
          <w:p w:rsidR="004A6B6A" w:rsidRPr="009F7D70" w:rsidRDefault="004A6B6A" w:rsidP="000C7CE5">
            <w:pPr>
              <w:jc w:val="right"/>
              <w:rPr>
                <w:sz w:val="22"/>
                <w:szCs w:val="22"/>
              </w:rPr>
            </w:pPr>
            <w:r w:rsidRPr="009F7D70">
              <w:rPr>
                <w:sz w:val="22"/>
                <w:szCs w:val="22"/>
              </w:rPr>
              <w:t>4,812,394</w:t>
            </w:r>
          </w:p>
        </w:tc>
      </w:tr>
      <w:tr w:rsidR="004A6B6A" w:rsidRPr="009F7D70" w:rsidTr="00957068">
        <w:trPr>
          <w:jc w:val="center"/>
        </w:trPr>
        <w:tc>
          <w:tcPr>
            <w:tcW w:w="2934" w:type="dxa"/>
          </w:tcPr>
          <w:p w:rsidR="004A6B6A" w:rsidRPr="009F7D70" w:rsidRDefault="004A6B6A" w:rsidP="000C7CE5">
            <w:pPr>
              <w:jc w:val="right"/>
              <w:rPr>
                <w:sz w:val="22"/>
                <w:szCs w:val="22"/>
              </w:rPr>
            </w:pPr>
            <w:r w:rsidRPr="009F7D70">
              <w:rPr>
                <w:sz w:val="22"/>
                <w:szCs w:val="22"/>
              </w:rPr>
              <w:t>Other income</w:t>
            </w:r>
          </w:p>
        </w:tc>
        <w:tc>
          <w:tcPr>
            <w:tcW w:w="2848" w:type="dxa"/>
          </w:tcPr>
          <w:p w:rsidR="004A6B6A" w:rsidRPr="009F7D70" w:rsidRDefault="004A6B6A" w:rsidP="000C7CE5">
            <w:pPr>
              <w:jc w:val="right"/>
              <w:rPr>
                <w:sz w:val="22"/>
                <w:szCs w:val="22"/>
              </w:rPr>
            </w:pPr>
            <w:r w:rsidRPr="009F7D70">
              <w:rPr>
                <w:sz w:val="22"/>
                <w:szCs w:val="22"/>
              </w:rPr>
              <w:t>69,249,823</w:t>
            </w:r>
          </w:p>
        </w:tc>
      </w:tr>
      <w:tr w:rsidR="004A6B6A" w:rsidRPr="009F7D70" w:rsidTr="00957068">
        <w:trPr>
          <w:jc w:val="center"/>
        </w:trPr>
        <w:tc>
          <w:tcPr>
            <w:tcW w:w="2934" w:type="dxa"/>
          </w:tcPr>
          <w:p w:rsidR="004A6B6A" w:rsidRPr="009F7D70" w:rsidRDefault="004A6B6A" w:rsidP="000C7CE5">
            <w:pPr>
              <w:jc w:val="both"/>
              <w:rPr>
                <w:sz w:val="22"/>
                <w:szCs w:val="22"/>
              </w:rPr>
            </w:pPr>
          </w:p>
        </w:tc>
        <w:tc>
          <w:tcPr>
            <w:tcW w:w="2848" w:type="dxa"/>
          </w:tcPr>
          <w:p w:rsidR="004A6B6A" w:rsidRPr="009F7D70" w:rsidRDefault="004A6B6A" w:rsidP="000C7CE5">
            <w:pPr>
              <w:jc w:val="right"/>
              <w:rPr>
                <w:sz w:val="22"/>
                <w:szCs w:val="22"/>
              </w:rPr>
            </w:pPr>
          </w:p>
        </w:tc>
      </w:tr>
      <w:tr w:rsidR="004A6B6A" w:rsidRPr="009F7D70" w:rsidTr="00957068">
        <w:trPr>
          <w:jc w:val="center"/>
        </w:trPr>
        <w:tc>
          <w:tcPr>
            <w:tcW w:w="2934" w:type="dxa"/>
          </w:tcPr>
          <w:p w:rsidR="004A6B6A" w:rsidRPr="009F7D70" w:rsidRDefault="004A6B6A" w:rsidP="000C7CE5">
            <w:pPr>
              <w:jc w:val="right"/>
              <w:rPr>
                <w:sz w:val="22"/>
                <w:szCs w:val="22"/>
                <w:u w:val="single"/>
              </w:rPr>
            </w:pPr>
            <w:r w:rsidRPr="009F7D70">
              <w:rPr>
                <w:sz w:val="22"/>
                <w:szCs w:val="22"/>
                <w:u w:val="single"/>
              </w:rPr>
              <w:t>Less:</w:t>
            </w:r>
          </w:p>
        </w:tc>
        <w:tc>
          <w:tcPr>
            <w:tcW w:w="2848" w:type="dxa"/>
          </w:tcPr>
          <w:p w:rsidR="004A6B6A" w:rsidRPr="009F7D70" w:rsidRDefault="004A6B6A" w:rsidP="000C7CE5">
            <w:pPr>
              <w:jc w:val="right"/>
              <w:rPr>
                <w:sz w:val="22"/>
                <w:szCs w:val="22"/>
              </w:rPr>
            </w:pPr>
          </w:p>
        </w:tc>
      </w:tr>
      <w:tr w:rsidR="004A6B6A" w:rsidRPr="009F7D70" w:rsidTr="00957068">
        <w:trPr>
          <w:jc w:val="center"/>
        </w:trPr>
        <w:tc>
          <w:tcPr>
            <w:tcW w:w="2934" w:type="dxa"/>
          </w:tcPr>
          <w:p w:rsidR="004A6B6A" w:rsidRPr="009F7D70" w:rsidRDefault="004A6B6A" w:rsidP="000C7CE5">
            <w:pPr>
              <w:jc w:val="right"/>
              <w:rPr>
                <w:sz w:val="22"/>
                <w:szCs w:val="22"/>
              </w:rPr>
            </w:pPr>
            <w:r w:rsidRPr="009F7D70">
              <w:rPr>
                <w:sz w:val="22"/>
                <w:szCs w:val="22"/>
              </w:rPr>
              <w:t>Ordinary loss</w:t>
            </w:r>
          </w:p>
        </w:tc>
        <w:tc>
          <w:tcPr>
            <w:tcW w:w="2848" w:type="dxa"/>
          </w:tcPr>
          <w:p w:rsidR="004A6B6A" w:rsidRPr="009F7D70" w:rsidRDefault="004A6B6A" w:rsidP="000C7CE5">
            <w:pPr>
              <w:jc w:val="right"/>
              <w:rPr>
                <w:sz w:val="22"/>
                <w:szCs w:val="22"/>
              </w:rPr>
            </w:pPr>
            <w:r w:rsidRPr="009F7D70">
              <w:rPr>
                <w:sz w:val="22"/>
                <w:szCs w:val="22"/>
              </w:rPr>
              <w:t>(184,131,413)</w:t>
            </w:r>
          </w:p>
        </w:tc>
      </w:tr>
      <w:tr w:rsidR="004A6B6A" w:rsidRPr="009F7D70" w:rsidTr="00957068">
        <w:trPr>
          <w:jc w:val="center"/>
        </w:trPr>
        <w:tc>
          <w:tcPr>
            <w:tcW w:w="2934" w:type="dxa"/>
          </w:tcPr>
          <w:p w:rsidR="004A6B6A" w:rsidRPr="009F7D70" w:rsidRDefault="004A6B6A" w:rsidP="000C7CE5">
            <w:pPr>
              <w:jc w:val="right"/>
              <w:rPr>
                <w:sz w:val="22"/>
                <w:szCs w:val="22"/>
              </w:rPr>
            </w:pPr>
            <w:r w:rsidRPr="009F7D70">
              <w:rPr>
                <w:sz w:val="22"/>
                <w:szCs w:val="22"/>
              </w:rPr>
              <w:t>Bad Debts</w:t>
            </w:r>
          </w:p>
        </w:tc>
        <w:tc>
          <w:tcPr>
            <w:tcW w:w="2848" w:type="dxa"/>
          </w:tcPr>
          <w:p w:rsidR="004A6B6A" w:rsidRPr="009F7D70" w:rsidRDefault="004A6B6A" w:rsidP="000C7CE5">
            <w:pPr>
              <w:jc w:val="right"/>
              <w:rPr>
                <w:sz w:val="22"/>
                <w:szCs w:val="22"/>
              </w:rPr>
            </w:pPr>
            <w:r w:rsidRPr="009F7D70">
              <w:rPr>
                <w:sz w:val="22"/>
                <w:szCs w:val="22"/>
              </w:rPr>
              <w:t>(1,859,544)</w:t>
            </w:r>
          </w:p>
        </w:tc>
      </w:tr>
      <w:tr w:rsidR="004A6B6A" w:rsidRPr="009F7D70" w:rsidTr="00957068">
        <w:trPr>
          <w:jc w:val="center"/>
        </w:trPr>
        <w:tc>
          <w:tcPr>
            <w:tcW w:w="2934" w:type="dxa"/>
          </w:tcPr>
          <w:p w:rsidR="004A6B6A" w:rsidRPr="009F7D70" w:rsidRDefault="004A6B6A" w:rsidP="000C7CE5">
            <w:pPr>
              <w:jc w:val="both"/>
              <w:rPr>
                <w:sz w:val="22"/>
                <w:szCs w:val="22"/>
              </w:rPr>
            </w:pPr>
          </w:p>
        </w:tc>
        <w:tc>
          <w:tcPr>
            <w:tcW w:w="2848" w:type="dxa"/>
          </w:tcPr>
          <w:p w:rsidR="004A6B6A" w:rsidRPr="009F7D70" w:rsidRDefault="004A6B6A" w:rsidP="000C7CE5">
            <w:pPr>
              <w:jc w:val="right"/>
              <w:rPr>
                <w:sz w:val="22"/>
                <w:szCs w:val="22"/>
              </w:rPr>
            </w:pPr>
          </w:p>
        </w:tc>
      </w:tr>
      <w:tr w:rsidR="004A6B6A" w:rsidRPr="009F7D70" w:rsidTr="00957068">
        <w:trPr>
          <w:jc w:val="center"/>
        </w:trPr>
        <w:tc>
          <w:tcPr>
            <w:tcW w:w="2934" w:type="dxa"/>
          </w:tcPr>
          <w:p w:rsidR="004A6B6A" w:rsidRPr="009F7D70" w:rsidRDefault="004A6B6A" w:rsidP="000C7CE5">
            <w:pPr>
              <w:jc w:val="right"/>
              <w:rPr>
                <w:sz w:val="22"/>
                <w:szCs w:val="22"/>
              </w:rPr>
            </w:pPr>
            <w:r w:rsidRPr="009F7D70">
              <w:rPr>
                <w:sz w:val="22"/>
                <w:szCs w:val="22"/>
              </w:rPr>
              <w:t>Margin Subject to Tax</w:t>
            </w:r>
          </w:p>
        </w:tc>
        <w:tc>
          <w:tcPr>
            <w:tcW w:w="2848" w:type="dxa"/>
          </w:tcPr>
          <w:p w:rsidR="004A6B6A" w:rsidRPr="009F7D70" w:rsidRDefault="004A6B6A" w:rsidP="000C7CE5">
            <w:pPr>
              <w:jc w:val="right"/>
              <w:rPr>
                <w:sz w:val="22"/>
                <w:szCs w:val="22"/>
              </w:rPr>
            </w:pPr>
            <w:r w:rsidRPr="009F7D70">
              <w:rPr>
                <w:sz w:val="22"/>
                <w:szCs w:val="22"/>
              </w:rPr>
              <w:t>$2,455,259,728</w:t>
            </w:r>
          </w:p>
        </w:tc>
      </w:tr>
      <w:tr w:rsidR="004A6B6A" w:rsidRPr="009F7D70" w:rsidTr="00957068">
        <w:trPr>
          <w:jc w:val="center"/>
        </w:trPr>
        <w:tc>
          <w:tcPr>
            <w:tcW w:w="2934" w:type="dxa"/>
          </w:tcPr>
          <w:p w:rsidR="004A6B6A" w:rsidRPr="009F7D70" w:rsidRDefault="004A6B6A" w:rsidP="000C7CE5">
            <w:pPr>
              <w:jc w:val="right"/>
              <w:rPr>
                <w:sz w:val="22"/>
                <w:szCs w:val="22"/>
              </w:rPr>
            </w:pPr>
          </w:p>
        </w:tc>
        <w:tc>
          <w:tcPr>
            <w:tcW w:w="2848" w:type="dxa"/>
          </w:tcPr>
          <w:p w:rsidR="004A6B6A" w:rsidRPr="009F7D70" w:rsidRDefault="004A6B6A" w:rsidP="000C7CE5">
            <w:pPr>
              <w:jc w:val="right"/>
              <w:rPr>
                <w:sz w:val="22"/>
                <w:szCs w:val="22"/>
              </w:rPr>
            </w:pPr>
          </w:p>
        </w:tc>
      </w:tr>
      <w:tr w:rsidR="004A6B6A" w:rsidRPr="009F7D70" w:rsidTr="00957068">
        <w:trPr>
          <w:jc w:val="center"/>
        </w:trPr>
        <w:tc>
          <w:tcPr>
            <w:tcW w:w="2934" w:type="dxa"/>
          </w:tcPr>
          <w:p w:rsidR="004A6B6A" w:rsidRPr="009F7D70" w:rsidRDefault="004A6B6A" w:rsidP="000C7CE5">
            <w:pPr>
              <w:jc w:val="right"/>
              <w:rPr>
                <w:sz w:val="22"/>
                <w:szCs w:val="22"/>
              </w:rPr>
            </w:pPr>
            <w:r w:rsidRPr="009F7D70">
              <w:rPr>
                <w:sz w:val="22"/>
                <w:szCs w:val="22"/>
              </w:rPr>
              <w:t>Statutory tax rate</w:t>
            </w:r>
          </w:p>
        </w:tc>
        <w:tc>
          <w:tcPr>
            <w:tcW w:w="2848" w:type="dxa"/>
          </w:tcPr>
          <w:p w:rsidR="004A6B6A" w:rsidRPr="009F7D70" w:rsidRDefault="004A6B6A" w:rsidP="000C7CE5">
            <w:pPr>
              <w:jc w:val="right"/>
              <w:rPr>
                <w:sz w:val="22"/>
                <w:szCs w:val="22"/>
              </w:rPr>
            </w:pPr>
            <w:r w:rsidRPr="009F7D70">
              <w:rPr>
                <w:sz w:val="22"/>
                <w:szCs w:val="22"/>
              </w:rPr>
              <w:t>0.7500%</w:t>
            </w:r>
          </w:p>
        </w:tc>
      </w:tr>
      <w:tr w:rsidR="004A6B6A" w:rsidRPr="009F7D70" w:rsidTr="00957068">
        <w:trPr>
          <w:jc w:val="center"/>
        </w:trPr>
        <w:tc>
          <w:tcPr>
            <w:tcW w:w="2934" w:type="dxa"/>
          </w:tcPr>
          <w:p w:rsidR="004A6B6A" w:rsidRPr="009F7D70" w:rsidRDefault="004A6B6A" w:rsidP="000C7CE5">
            <w:pPr>
              <w:jc w:val="both"/>
              <w:rPr>
                <w:sz w:val="22"/>
                <w:szCs w:val="22"/>
              </w:rPr>
            </w:pPr>
          </w:p>
        </w:tc>
        <w:tc>
          <w:tcPr>
            <w:tcW w:w="2848" w:type="dxa"/>
          </w:tcPr>
          <w:p w:rsidR="004A6B6A" w:rsidRPr="009F7D70" w:rsidRDefault="004A6B6A" w:rsidP="000C7CE5">
            <w:pPr>
              <w:jc w:val="right"/>
              <w:rPr>
                <w:sz w:val="22"/>
                <w:szCs w:val="22"/>
              </w:rPr>
            </w:pPr>
          </w:p>
        </w:tc>
      </w:tr>
      <w:tr w:rsidR="004A6B6A" w:rsidRPr="009F7D70" w:rsidTr="00957068">
        <w:trPr>
          <w:jc w:val="center"/>
        </w:trPr>
        <w:tc>
          <w:tcPr>
            <w:tcW w:w="2934" w:type="dxa"/>
          </w:tcPr>
          <w:p w:rsidR="004A6B6A" w:rsidRPr="009F7D70" w:rsidRDefault="004A6B6A" w:rsidP="000C7CE5">
            <w:pPr>
              <w:jc w:val="both"/>
              <w:rPr>
                <w:sz w:val="22"/>
                <w:szCs w:val="22"/>
              </w:rPr>
            </w:pPr>
            <w:r w:rsidRPr="009F7D70">
              <w:rPr>
                <w:sz w:val="22"/>
                <w:szCs w:val="22"/>
              </w:rPr>
              <w:t xml:space="preserve">   Current Texas Margin Tax  </w:t>
            </w:r>
          </w:p>
        </w:tc>
        <w:tc>
          <w:tcPr>
            <w:tcW w:w="2848" w:type="dxa"/>
          </w:tcPr>
          <w:p w:rsidR="004A6B6A" w:rsidRPr="009F7D70" w:rsidRDefault="004A6B6A" w:rsidP="000C7CE5">
            <w:pPr>
              <w:jc w:val="right"/>
              <w:rPr>
                <w:sz w:val="22"/>
                <w:szCs w:val="22"/>
              </w:rPr>
            </w:pPr>
            <w:r w:rsidRPr="009F7D70">
              <w:rPr>
                <w:sz w:val="22"/>
                <w:szCs w:val="22"/>
              </w:rPr>
              <w:t>$18,414,448</w:t>
            </w:r>
          </w:p>
        </w:tc>
      </w:tr>
      <w:tr w:rsidR="004A6B6A" w:rsidRPr="009F7D70" w:rsidTr="00957068">
        <w:trPr>
          <w:jc w:val="center"/>
        </w:trPr>
        <w:tc>
          <w:tcPr>
            <w:tcW w:w="2934" w:type="dxa"/>
          </w:tcPr>
          <w:p w:rsidR="004A6B6A" w:rsidRPr="009F7D70" w:rsidRDefault="004A6B6A" w:rsidP="000C7CE5">
            <w:pPr>
              <w:jc w:val="both"/>
              <w:rPr>
                <w:sz w:val="22"/>
                <w:szCs w:val="22"/>
              </w:rPr>
            </w:pPr>
            <w:r w:rsidRPr="009F7D70">
              <w:rPr>
                <w:sz w:val="22"/>
                <w:szCs w:val="22"/>
              </w:rPr>
              <w:t>Source:  WP II-E-2a</w:t>
            </w:r>
          </w:p>
        </w:tc>
        <w:tc>
          <w:tcPr>
            <w:tcW w:w="2848" w:type="dxa"/>
          </w:tcPr>
          <w:p w:rsidR="004A6B6A" w:rsidRPr="009F7D70" w:rsidRDefault="004A6B6A" w:rsidP="000C7CE5">
            <w:pPr>
              <w:jc w:val="right"/>
              <w:rPr>
                <w:sz w:val="22"/>
                <w:szCs w:val="22"/>
              </w:rPr>
            </w:pPr>
          </w:p>
        </w:tc>
      </w:tr>
    </w:tbl>
    <w:p w:rsidR="004A6B6A" w:rsidRDefault="004A6B6A" w:rsidP="007E25B0">
      <w:pPr>
        <w:suppressLineNumbers/>
        <w:ind w:left="720" w:hanging="720"/>
        <w:jc w:val="both"/>
        <w:rPr>
          <w:sz w:val="24"/>
          <w:szCs w:val="24"/>
        </w:rPr>
      </w:pPr>
    </w:p>
    <w:p w:rsidR="004A6B6A" w:rsidRDefault="004A6B6A" w:rsidP="004A6B6A">
      <w:pPr>
        <w:spacing w:line="480" w:lineRule="auto"/>
        <w:ind w:left="720" w:hanging="720"/>
        <w:jc w:val="both"/>
        <w:rPr>
          <w:b/>
          <w:sz w:val="24"/>
          <w:szCs w:val="24"/>
        </w:rPr>
      </w:pPr>
      <w:r>
        <w:rPr>
          <w:b/>
          <w:sz w:val="24"/>
          <w:szCs w:val="24"/>
        </w:rPr>
        <w:lastRenderedPageBreak/>
        <w:t>Q.</w:t>
      </w:r>
      <w:r>
        <w:rPr>
          <w:b/>
          <w:sz w:val="24"/>
          <w:szCs w:val="24"/>
        </w:rPr>
        <w:tab/>
        <w:t xml:space="preserve">As shown in the above table, what causes </w:t>
      </w:r>
      <w:r w:rsidR="007E4E01">
        <w:rPr>
          <w:b/>
          <w:sz w:val="24"/>
          <w:szCs w:val="24"/>
        </w:rPr>
        <w:t>the Company</w:t>
      </w:r>
      <w:r>
        <w:rPr>
          <w:b/>
          <w:sz w:val="24"/>
          <w:szCs w:val="24"/>
        </w:rPr>
        <w:t>’s Texas Margins Tax expenses?</w:t>
      </w:r>
    </w:p>
    <w:p w:rsidR="004A6B6A" w:rsidRPr="005A12DA" w:rsidRDefault="004A6B6A" w:rsidP="004A6B6A">
      <w:pPr>
        <w:spacing w:line="480" w:lineRule="auto"/>
        <w:ind w:left="720" w:hanging="720"/>
        <w:jc w:val="both"/>
        <w:rPr>
          <w:sz w:val="24"/>
          <w:szCs w:val="24"/>
        </w:rPr>
      </w:pPr>
      <w:r w:rsidRPr="00960FD7">
        <w:rPr>
          <w:sz w:val="24"/>
          <w:szCs w:val="24"/>
        </w:rPr>
        <w:t>A.</w:t>
      </w:r>
      <w:r w:rsidRPr="00960FD7">
        <w:rPr>
          <w:sz w:val="24"/>
          <w:szCs w:val="24"/>
        </w:rPr>
        <w:tab/>
      </w:r>
      <w:r>
        <w:rPr>
          <w:sz w:val="24"/>
          <w:szCs w:val="24"/>
        </w:rPr>
        <w:t>R</w:t>
      </w:r>
      <w:r w:rsidRPr="00960FD7">
        <w:rPr>
          <w:sz w:val="24"/>
          <w:szCs w:val="24"/>
        </w:rPr>
        <w:t>evenues.</w:t>
      </w:r>
    </w:p>
    <w:p w:rsidR="004A6B6A" w:rsidRDefault="004A6B6A" w:rsidP="004A6B6A">
      <w:pPr>
        <w:spacing w:line="480" w:lineRule="auto"/>
        <w:ind w:left="720" w:hanging="720"/>
        <w:jc w:val="both"/>
        <w:rPr>
          <w:b/>
          <w:sz w:val="24"/>
          <w:szCs w:val="24"/>
        </w:rPr>
      </w:pPr>
      <w:r w:rsidRPr="000F2C9D">
        <w:rPr>
          <w:b/>
          <w:sz w:val="24"/>
          <w:szCs w:val="24"/>
        </w:rPr>
        <w:t>Q.</w:t>
      </w:r>
      <w:r w:rsidRPr="000F2C9D">
        <w:rPr>
          <w:b/>
          <w:sz w:val="24"/>
          <w:szCs w:val="24"/>
        </w:rPr>
        <w:tab/>
      </w:r>
      <w:r>
        <w:rPr>
          <w:b/>
          <w:sz w:val="24"/>
          <w:szCs w:val="24"/>
        </w:rPr>
        <w:t xml:space="preserve">What sources of revenues to </w:t>
      </w:r>
      <w:r w:rsidR="00C8262C">
        <w:rPr>
          <w:b/>
          <w:sz w:val="24"/>
          <w:szCs w:val="24"/>
        </w:rPr>
        <w:t>CEHE</w:t>
      </w:r>
      <w:r>
        <w:rPr>
          <w:b/>
          <w:sz w:val="24"/>
          <w:szCs w:val="24"/>
        </w:rPr>
        <w:t xml:space="preserve"> are at issue in this proceeding and will </w:t>
      </w:r>
      <w:r w:rsidR="007A1D2D">
        <w:rPr>
          <w:b/>
          <w:sz w:val="24"/>
          <w:szCs w:val="24"/>
        </w:rPr>
        <w:t xml:space="preserve">generate </w:t>
      </w:r>
      <w:r>
        <w:rPr>
          <w:b/>
          <w:sz w:val="24"/>
          <w:szCs w:val="24"/>
        </w:rPr>
        <w:t>revenues subject to Texas Margins Tax?</w:t>
      </w:r>
    </w:p>
    <w:p w:rsidR="004A6B6A" w:rsidRDefault="004A6B6A" w:rsidP="004A6B6A">
      <w:pPr>
        <w:spacing w:line="480" w:lineRule="auto"/>
        <w:ind w:left="720" w:hanging="720"/>
        <w:jc w:val="both"/>
        <w:rPr>
          <w:sz w:val="24"/>
          <w:szCs w:val="24"/>
        </w:rPr>
      </w:pPr>
      <w:r w:rsidRPr="000F2C9D">
        <w:rPr>
          <w:sz w:val="24"/>
          <w:szCs w:val="24"/>
        </w:rPr>
        <w:t>A.</w:t>
      </w:r>
      <w:r w:rsidRPr="000F2C9D">
        <w:rPr>
          <w:sz w:val="24"/>
          <w:szCs w:val="24"/>
        </w:rPr>
        <w:tab/>
      </w:r>
      <w:r>
        <w:rPr>
          <w:sz w:val="24"/>
          <w:szCs w:val="24"/>
        </w:rPr>
        <w:t xml:space="preserve">Wholesale transmission revenues and retail delivery revenues.  </w:t>
      </w:r>
    </w:p>
    <w:p w:rsidR="004A6B6A" w:rsidRPr="00244E21" w:rsidRDefault="004A6B6A" w:rsidP="004A6B6A">
      <w:pPr>
        <w:spacing w:line="480" w:lineRule="auto"/>
        <w:ind w:left="720" w:hanging="720"/>
        <w:jc w:val="both"/>
        <w:rPr>
          <w:b/>
          <w:sz w:val="24"/>
          <w:szCs w:val="24"/>
        </w:rPr>
      </w:pPr>
      <w:r w:rsidRPr="00244E21">
        <w:rPr>
          <w:b/>
          <w:sz w:val="24"/>
          <w:szCs w:val="24"/>
        </w:rPr>
        <w:t>Q.</w:t>
      </w:r>
      <w:r w:rsidRPr="00244E21">
        <w:rPr>
          <w:b/>
          <w:sz w:val="24"/>
          <w:szCs w:val="24"/>
        </w:rPr>
        <w:tab/>
        <w:t xml:space="preserve">How does </w:t>
      </w:r>
      <w:r w:rsidR="00C8262C">
        <w:rPr>
          <w:b/>
          <w:sz w:val="24"/>
          <w:szCs w:val="24"/>
        </w:rPr>
        <w:t>CEHE</w:t>
      </w:r>
      <w:r w:rsidRPr="00244E21">
        <w:rPr>
          <w:b/>
          <w:sz w:val="24"/>
          <w:szCs w:val="24"/>
        </w:rPr>
        <w:t xml:space="preserve"> collect wholesale transmission revenues and retail delivery revenues?</w:t>
      </w:r>
    </w:p>
    <w:p w:rsidR="002049C5" w:rsidRDefault="004A6B6A" w:rsidP="001E308F">
      <w:pPr>
        <w:spacing w:line="480" w:lineRule="auto"/>
        <w:ind w:left="720" w:hanging="720"/>
        <w:jc w:val="both"/>
        <w:rPr>
          <w:sz w:val="24"/>
          <w:szCs w:val="24"/>
        </w:rPr>
      </w:pPr>
      <w:r>
        <w:rPr>
          <w:sz w:val="24"/>
          <w:szCs w:val="24"/>
        </w:rPr>
        <w:t>A.</w:t>
      </w:r>
      <w:r>
        <w:rPr>
          <w:sz w:val="24"/>
          <w:szCs w:val="24"/>
        </w:rPr>
        <w:tab/>
        <w:t xml:space="preserve">In this proceeding, </w:t>
      </w:r>
      <w:r w:rsidR="00C8262C">
        <w:rPr>
          <w:sz w:val="24"/>
          <w:szCs w:val="24"/>
        </w:rPr>
        <w:t>CEHE</w:t>
      </w:r>
      <w:r>
        <w:rPr>
          <w:sz w:val="24"/>
          <w:szCs w:val="24"/>
        </w:rPr>
        <w:t>’s wholesale transmission rates and retail delivery rates will be set by the Commission.</w:t>
      </w:r>
      <w:r>
        <w:rPr>
          <w:rStyle w:val="FootnoteReference"/>
          <w:sz w:val="24"/>
          <w:szCs w:val="24"/>
        </w:rPr>
        <w:footnoteReference w:id="42"/>
      </w:r>
      <w:r>
        <w:rPr>
          <w:sz w:val="24"/>
          <w:szCs w:val="24"/>
        </w:rPr>
        <w:t xml:space="preserve">  After </w:t>
      </w:r>
      <w:r w:rsidR="002E5659">
        <w:rPr>
          <w:sz w:val="24"/>
          <w:szCs w:val="24"/>
        </w:rPr>
        <w:t xml:space="preserve">the </w:t>
      </w:r>
      <w:r>
        <w:rPr>
          <w:sz w:val="24"/>
          <w:szCs w:val="24"/>
        </w:rPr>
        <w:t xml:space="preserve">rates are set, </w:t>
      </w:r>
      <w:r w:rsidR="00C8262C">
        <w:rPr>
          <w:sz w:val="24"/>
          <w:szCs w:val="24"/>
        </w:rPr>
        <w:t>CEHE</w:t>
      </w:r>
      <w:r w:rsidR="007A1D2D">
        <w:rPr>
          <w:sz w:val="24"/>
          <w:szCs w:val="24"/>
        </w:rPr>
        <w:t xml:space="preserve"> will collect</w:t>
      </w:r>
      <w:r>
        <w:rPr>
          <w:sz w:val="24"/>
          <w:szCs w:val="24"/>
        </w:rPr>
        <w:t xml:space="preserve"> revenues based on </w:t>
      </w:r>
      <w:r w:rsidR="007A1D2D">
        <w:rPr>
          <w:sz w:val="24"/>
          <w:szCs w:val="24"/>
        </w:rPr>
        <w:t>its sales (</w:t>
      </w:r>
      <w:r>
        <w:rPr>
          <w:sz w:val="24"/>
          <w:szCs w:val="24"/>
        </w:rPr>
        <w:t>billing units</w:t>
      </w:r>
      <w:r w:rsidR="007A1D2D">
        <w:rPr>
          <w:sz w:val="24"/>
          <w:szCs w:val="24"/>
        </w:rPr>
        <w:t>)</w:t>
      </w:r>
      <w:r>
        <w:rPr>
          <w:sz w:val="24"/>
          <w:szCs w:val="24"/>
        </w:rPr>
        <w:t xml:space="preserve"> multiplied by </w:t>
      </w:r>
      <w:r w:rsidR="007A1D2D">
        <w:rPr>
          <w:sz w:val="24"/>
          <w:szCs w:val="24"/>
        </w:rPr>
        <w:t xml:space="preserve">its </w:t>
      </w:r>
      <w:r w:rsidR="001E308F">
        <w:rPr>
          <w:sz w:val="24"/>
          <w:szCs w:val="24"/>
        </w:rPr>
        <w:t xml:space="preserve">rates.  </w:t>
      </w:r>
      <w:r>
        <w:rPr>
          <w:sz w:val="24"/>
          <w:szCs w:val="24"/>
        </w:rPr>
        <w:t>Wholesale revenues will be wholesale transmission rates multiplied by ERCOT billing units.</w:t>
      </w:r>
      <w:r w:rsidR="007A1D2D">
        <w:rPr>
          <w:rStyle w:val="FootnoteReference"/>
          <w:sz w:val="24"/>
          <w:szCs w:val="24"/>
        </w:rPr>
        <w:footnoteReference w:id="43"/>
      </w:r>
      <w:r>
        <w:rPr>
          <w:sz w:val="24"/>
          <w:szCs w:val="24"/>
        </w:rPr>
        <w:t xml:space="preserve">  Retail delivery revenues will be retail delivery rates mult</w:t>
      </w:r>
      <w:r w:rsidR="002049C5">
        <w:rPr>
          <w:sz w:val="24"/>
          <w:szCs w:val="24"/>
        </w:rPr>
        <w:t>iplied by retail billing units.</w:t>
      </w:r>
    </w:p>
    <w:p w:rsidR="004A6B6A" w:rsidRDefault="004A6B6A" w:rsidP="002049C5">
      <w:pPr>
        <w:spacing w:line="480" w:lineRule="auto"/>
        <w:ind w:left="720" w:firstLine="720"/>
        <w:jc w:val="both"/>
        <w:rPr>
          <w:sz w:val="24"/>
          <w:szCs w:val="24"/>
        </w:rPr>
      </w:pPr>
      <w:r>
        <w:rPr>
          <w:sz w:val="24"/>
          <w:szCs w:val="24"/>
        </w:rPr>
        <w:t xml:space="preserve">Texas Margins Tax will be levied on </w:t>
      </w:r>
      <w:r w:rsidR="00C8262C">
        <w:rPr>
          <w:sz w:val="24"/>
          <w:szCs w:val="24"/>
        </w:rPr>
        <w:t>CEHE</w:t>
      </w:r>
      <w:r>
        <w:rPr>
          <w:sz w:val="24"/>
          <w:szCs w:val="24"/>
        </w:rPr>
        <w:t>’s revenues collected from each rate jurisdiction—wholesale and retail.</w:t>
      </w:r>
      <w:r w:rsidR="00237B91">
        <w:rPr>
          <w:sz w:val="24"/>
          <w:szCs w:val="24"/>
        </w:rPr>
        <w:t xml:space="preserve">  A visual depiction of the Company’s requested wholesale and retail base revenues is as follows:</w:t>
      </w:r>
    </w:p>
    <w:p w:rsidR="00C02D71" w:rsidRDefault="00C02D71" w:rsidP="00C02D71">
      <w:pPr>
        <w:suppressLineNumbers/>
        <w:spacing w:line="480" w:lineRule="auto"/>
        <w:ind w:left="720" w:firstLine="720"/>
        <w:jc w:val="both"/>
        <w:rPr>
          <w:sz w:val="24"/>
          <w:szCs w:val="24"/>
        </w:rPr>
      </w:pPr>
    </w:p>
    <w:p w:rsidR="00C02D71" w:rsidRDefault="00C02D71" w:rsidP="00C02D71">
      <w:pPr>
        <w:suppressLineNumbers/>
        <w:spacing w:line="480" w:lineRule="auto"/>
        <w:ind w:left="720" w:firstLine="720"/>
        <w:jc w:val="both"/>
        <w:rPr>
          <w:sz w:val="24"/>
          <w:szCs w:val="24"/>
        </w:rPr>
      </w:pPr>
    </w:p>
    <w:p w:rsidR="00C02D71" w:rsidRDefault="00C02D71" w:rsidP="00C02D71">
      <w:pPr>
        <w:suppressLineNumbers/>
        <w:spacing w:line="480" w:lineRule="auto"/>
        <w:ind w:left="720" w:firstLine="720"/>
        <w:jc w:val="both"/>
        <w:rPr>
          <w:sz w:val="24"/>
          <w:szCs w:val="24"/>
        </w:rPr>
      </w:pPr>
    </w:p>
    <w:p w:rsidR="00EA5BB8" w:rsidRDefault="00EA5BB8" w:rsidP="002049C5">
      <w:pPr>
        <w:spacing w:line="480" w:lineRule="auto"/>
        <w:ind w:left="720" w:firstLine="720"/>
        <w:jc w:val="both"/>
        <w:rPr>
          <w:sz w:val="24"/>
          <w:szCs w:val="24"/>
        </w:rPr>
      </w:pPr>
      <w:r>
        <w:rPr>
          <w:sz w:val="24"/>
          <w:szCs w:val="24"/>
        </w:rPr>
        <w:t>Figure BTM-2</w:t>
      </w:r>
      <w:r w:rsidR="009A41CC">
        <w:rPr>
          <w:sz w:val="24"/>
          <w:szCs w:val="24"/>
        </w:rPr>
        <w:tab/>
      </w:r>
      <w:r w:rsidR="009A41CC">
        <w:rPr>
          <w:sz w:val="24"/>
          <w:szCs w:val="24"/>
        </w:rPr>
        <w:tab/>
        <w:t>Requested Base Revenues</w:t>
      </w:r>
    </w:p>
    <w:p w:rsidR="00237B91" w:rsidRDefault="004A2131" w:rsidP="002049C5">
      <w:pPr>
        <w:spacing w:line="480" w:lineRule="auto"/>
        <w:ind w:left="720" w:firstLine="720"/>
        <w:jc w:val="both"/>
        <w:rPr>
          <w:sz w:val="24"/>
          <w:szCs w:val="24"/>
        </w:rPr>
      </w:pPr>
      <w:r w:rsidRPr="004A2131">
        <w:rPr>
          <w:noProof/>
        </w:rPr>
        <w:drawing>
          <wp:inline distT="0" distB="0" distL="0" distR="0">
            <wp:extent cx="3374136" cy="35295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4136" cy="3529584"/>
                    </a:xfrm>
                    <a:prstGeom prst="rect">
                      <a:avLst/>
                    </a:prstGeom>
                    <a:noFill/>
                    <a:ln>
                      <a:noFill/>
                    </a:ln>
                  </pic:spPr>
                </pic:pic>
              </a:graphicData>
            </a:graphic>
          </wp:inline>
        </w:drawing>
      </w:r>
    </w:p>
    <w:p w:rsidR="00237B91" w:rsidRDefault="00CE7063" w:rsidP="002049C5">
      <w:pPr>
        <w:spacing w:line="480" w:lineRule="auto"/>
        <w:ind w:left="720" w:firstLine="720"/>
        <w:jc w:val="both"/>
        <w:rPr>
          <w:sz w:val="24"/>
          <w:szCs w:val="24"/>
        </w:rPr>
      </w:pPr>
      <w:r>
        <w:rPr>
          <w:sz w:val="24"/>
          <w:szCs w:val="24"/>
        </w:rPr>
        <w:t xml:space="preserve">The </w:t>
      </w:r>
      <w:r w:rsidR="00506AC4">
        <w:rPr>
          <w:sz w:val="24"/>
          <w:szCs w:val="24"/>
        </w:rPr>
        <w:t>base-</w:t>
      </w:r>
      <w:r>
        <w:rPr>
          <w:sz w:val="24"/>
          <w:szCs w:val="24"/>
        </w:rPr>
        <w:t>revenue figures can be fou</w:t>
      </w:r>
      <w:r w:rsidR="007E4E01">
        <w:rPr>
          <w:sz w:val="24"/>
          <w:szCs w:val="24"/>
        </w:rPr>
        <w:t>nd in the Company’s application.</w:t>
      </w:r>
      <w:r w:rsidR="00506AC4">
        <w:rPr>
          <w:rStyle w:val="FootnoteReference"/>
          <w:sz w:val="24"/>
          <w:szCs w:val="24"/>
        </w:rPr>
        <w:footnoteReference w:id="44"/>
      </w:r>
    </w:p>
    <w:p w:rsidR="004A6B6A" w:rsidRPr="00AB1900" w:rsidRDefault="004A6B6A" w:rsidP="004A6B6A">
      <w:pPr>
        <w:spacing w:line="480" w:lineRule="auto"/>
        <w:ind w:left="720" w:hanging="720"/>
        <w:jc w:val="both"/>
        <w:rPr>
          <w:b/>
          <w:sz w:val="24"/>
          <w:szCs w:val="24"/>
        </w:rPr>
      </w:pPr>
      <w:r w:rsidRPr="00AB1900">
        <w:rPr>
          <w:b/>
          <w:sz w:val="24"/>
          <w:szCs w:val="24"/>
        </w:rPr>
        <w:t>Q.</w:t>
      </w:r>
      <w:r w:rsidRPr="00AB1900">
        <w:rPr>
          <w:b/>
          <w:sz w:val="24"/>
          <w:szCs w:val="24"/>
        </w:rPr>
        <w:tab/>
        <w:t>What is the relationship between “cost of service” and “revenue requirement”?</w:t>
      </w:r>
    </w:p>
    <w:p w:rsidR="00D2321F" w:rsidRDefault="004A6B6A" w:rsidP="007A1D2D">
      <w:pPr>
        <w:spacing w:line="480" w:lineRule="auto"/>
        <w:ind w:left="720" w:hanging="720"/>
        <w:jc w:val="both"/>
        <w:rPr>
          <w:sz w:val="24"/>
          <w:szCs w:val="24"/>
        </w:rPr>
      </w:pPr>
      <w:r>
        <w:rPr>
          <w:sz w:val="24"/>
          <w:szCs w:val="24"/>
        </w:rPr>
        <w:t>A.</w:t>
      </w:r>
      <w:r>
        <w:rPr>
          <w:sz w:val="24"/>
          <w:szCs w:val="24"/>
        </w:rPr>
        <w:tab/>
      </w:r>
      <w:r w:rsidR="007A1D2D">
        <w:rPr>
          <w:sz w:val="24"/>
          <w:szCs w:val="24"/>
        </w:rPr>
        <w:t xml:space="preserve">They refer to the two sides of the basic ratemaking formula:  </w:t>
      </w:r>
    </w:p>
    <w:p w:rsidR="00D2321F" w:rsidRPr="004A2131" w:rsidRDefault="00D2321F" w:rsidP="00131ED8">
      <w:pPr>
        <w:ind w:left="720" w:right="720" w:firstLine="720"/>
        <w:jc w:val="center"/>
        <w:rPr>
          <w:i/>
          <w:sz w:val="24"/>
          <w:szCs w:val="24"/>
        </w:rPr>
      </w:pPr>
      <w:r w:rsidRPr="004A2131">
        <w:rPr>
          <w:i/>
          <w:sz w:val="24"/>
          <w:szCs w:val="24"/>
        </w:rPr>
        <w:t>Base Revenue R</w:t>
      </w:r>
      <w:r w:rsidR="007A1D2D" w:rsidRPr="004A2131">
        <w:rPr>
          <w:i/>
          <w:sz w:val="24"/>
          <w:szCs w:val="24"/>
        </w:rPr>
        <w:t xml:space="preserve">equirement </w:t>
      </w:r>
      <w:r w:rsidR="006A0004" w:rsidRPr="004A2131">
        <w:rPr>
          <w:i/>
          <w:sz w:val="24"/>
          <w:szCs w:val="24"/>
        </w:rPr>
        <w:t xml:space="preserve">= Cost of Service </w:t>
      </w:r>
      <w:r w:rsidRPr="004A2131">
        <w:rPr>
          <w:i/>
          <w:sz w:val="24"/>
          <w:szCs w:val="24"/>
        </w:rPr>
        <w:t>-</w:t>
      </w:r>
      <w:r w:rsidR="007A1D2D" w:rsidRPr="004A2131">
        <w:rPr>
          <w:i/>
          <w:sz w:val="24"/>
          <w:szCs w:val="24"/>
        </w:rPr>
        <w:t xml:space="preserve"> </w:t>
      </w:r>
      <w:r w:rsidRPr="004A2131">
        <w:rPr>
          <w:i/>
          <w:sz w:val="24"/>
          <w:szCs w:val="24"/>
        </w:rPr>
        <w:t>Other R</w:t>
      </w:r>
      <w:r w:rsidR="007A1D2D" w:rsidRPr="004A2131">
        <w:rPr>
          <w:i/>
          <w:sz w:val="24"/>
          <w:szCs w:val="24"/>
        </w:rPr>
        <w:t>evenues</w:t>
      </w:r>
    </w:p>
    <w:p w:rsidR="002454B4" w:rsidRDefault="002454B4" w:rsidP="002454B4">
      <w:pPr>
        <w:ind w:left="720" w:firstLine="720"/>
        <w:jc w:val="center"/>
        <w:rPr>
          <w:sz w:val="24"/>
          <w:szCs w:val="24"/>
        </w:rPr>
      </w:pPr>
    </w:p>
    <w:p w:rsidR="007A1D2D" w:rsidRDefault="007A1D2D" w:rsidP="00D2321F">
      <w:pPr>
        <w:spacing w:line="480" w:lineRule="auto"/>
        <w:ind w:left="720" w:firstLine="720"/>
        <w:jc w:val="both"/>
        <w:rPr>
          <w:sz w:val="24"/>
          <w:szCs w:val="24"/>
        </w:rPr>
      </w:pPr>
      <w:r>
        <w:rPr>
          <w:sz w:val="24"/>
          <w:szCs w:val="24"/>
        </w:rPr>
        <w:lastRenderedPageBreak/>
        <w:t xml:space="preserve">The two sides of the </w:t>
      </w:r>
      <w:r w:rsidR="00242D98">
        <w:rPr>
          <w:sz w:val="24"/>
          <w:szCs w:val="24"/>
        </w:rPr>
        <w:t>formula</w:t>
      </w:r>
      <w:r>
        <w:rPr>
          <w:sz w:val="24"/>
          <w:szCs w:val="24"/>
        </w:rPr>
        <w:t xml:space="preserve"> are set equal in a base-rate proceeding by setting base rates at a level that would fully recover the base revenue requirement.</w:t>
      </w:r>
      <w:r w:rsidR="003554F8">
        <w:rPr>
          <w:sz w:val="24"/>
          <w:szCs w:val="24"/>
        </w:rPr>
        <w:t xml:space="preserve">  Costs that are approved for rate recovery are included in the </w:t>
      </w:r>
      <w:r w:rsidR="002214AA">
        <w:rPr>
          <w:sz w:val="24"/>
          <w:szCs w:val="24"/>
        </w:rPr>
        <w:t xml:space="preserve">base </w:t>
      </w:r>
      <w:r w:rsidR="003554F8">
        <w:rPr>
          <w:sz w:val="24"/>
          <w:szCs w:val="24"/>
        </w:rPr>
        <w:t>revenue requirement.</w:t>
      </w:r>
      <w:r w:rsidR="002214AA">
        <w:rPr>
          <w:rStyle w:val="FootnoteReference"/>
          <w:sz w:val="24"/>
          <w:szCs w:val="24"/>
        </w:rPr>
        <w:footnoteReference w:id="45"/>
      </w:r>
    </w:p>
    <w:p w:rsidR="004A6B6A" w:rsidRDefault="004A6B6A" w:rsidP="004A6B6A">
      <w:pPr>
        <w:spacing w:line="480" w:lineRule="auto"/>
        <w:ind w:left="720" w:hanging="720"/>
        <w:jc w:val="both"/>
        <w:rPr>
          <w:b/>
          <w:sz w:val="24"/>
          <w:szCs w:val="24"/>
        </w:rPr>
      </w:pPr>
      <w:r w:rsidRPr="00244E21">
        <w:rPr>
          <w:b/>
          <w:sz w:val="24"/>
          <w:szCs w:val="24"/>
        </w:rPr>
        <w:t>Q.</w:t>
      </w:r>
      <w:r w:rsidRPr="00244E21">
        <w:rPr>
          <w:b/>
          <w:sz w:val="24"/>
          <w:szCs w:val="24"/>
        </w:rPr>
        <w:tab/>
      </w:r>
      <w:r>
        <w:rPr>
          <w:b/>
          <w:sz w:val="24"/>
          <w:szCs w:val="24"/>
        </w:rPr>
        <w:t>Which functionalized costs are included in the wholesale transmission revenue requirement?</w:t>
      </w:r>
    </w:p>
    <w:p w:rsidR="004A6B6A" w:rsidRPr="00B96028" w:rsidRDefault="004A6B6A" w:rsidP="004A6B6A">
      <w:pPr>
        <w:spacing w:line="480" w:lineRule="auto"/>
        <w:ind w:left="720" w:hanging="720"/>
        <w:jc w:val="both"/>
        <w:rPr>
          <w:sz w:val="24"/>
          <w:szCs w:val="24"/>
        </w:rPr>
      </w:pPr>
      <w:r w:rsidRPr="00B96028">
        <w:rPr>
          <w:sz w:val="24"/>
          <w:szCs w:val="24"/>
        </w:rPr>
        <w:t>A.</w:t>
      </w:r>
      <w:r w:rsidRPr="00B96028">
        <w:rPr>
          <w:sz w:val="24"/>
          <w:szCs w:val="24"/>
        </w:rPr>
        <w:tab/>
      </w:r>
      <w:r>
        <w:rPr>
          <w:sz w:val="24"/>
          <w:szCs w:val="24"/>
        </w:rPr>
        <w:t xml:space="preserve">As shown above </w:t>
      </w:r>
      <w:r w:rsidRPr="00F944AE">
        <w:rPr>
          <w:sz w:val="24"/>
          <w:szCs w:val="24"/>
        </w:rPr>
        <w:t xml:space="preserve">in </w:t>
      </w:r>
      <w:r w:rsidR="003719EC" w:rsidRPr="00F944AE">
        <w:rPr>
          <w:sz w:val="24"/>
          <w:szCs w:val="24"/>
        </w:rPr>
        <w:t>F</w:t>
      </w:r>
      <w:r w:rsidRPr="00F944AE">
        <w:rPr>
          <w:sz w:val="24"/>
          <w:szCs w:val="24"/>
        </w:rPr>
        <w:t xml:space="preserve">igure </w:t>
      </w:r>
      <w:r w:rsidR="00F944AE" w:rsidRPr="00F944AE">
        <w:rPr>
          <w:sz w:val="24"/>
          <w:szCs w:val="24"/>
        </w:rPr>
        <w:t>BTM-2</w:t>
      </w:r>
      <w:r>
        <w:rPr>
          <w:sz w:val="24"/>
          <w:szCs w:val="24"/>
        </w:rPr>
        <w:t>, costs functionali</w:t>
      </w:r>
      <w:r w:rsidR="00160ABD">
        <w:rPr>
          <w:sz w:val="24"/>
          <w:szCs w:val="24"/>
        </w:rPr>
        <w:t xml:space="preserve">zed to transmission, excluding </w:t>
      </w:r>
      <w:r w:rsidR="002D2AC6">
        <w:rPr>
          <w:sz w:val="24"/>
          <w:szCs w:val="24"/>
        </w:rPr>
        <w:t xml:space="preserve">FERC </w:t>
      </w:r>
      <w:r w:rsidR="00160ABD">
        <w:rPr>
          <w:sz w:val="24"/>
          <w:szCs w:val="24"/>
        </w:rPr>
        <w:t>A</w:t>
      </w:r>
      <w:r>
        <w:rPr>
          <w:sz w:val="24"/>
          <w:szCs w:val="24"/>
        </w:rPr>
        <w:t>ccount 565 (</w:t>
      </w:r>
      <w:r w:rsidR="00422743">
        <w:rPr>
          <w:sz w:val="24"/>
          <w:szCs w:val="24"/>
        </w:rPr>
        <w:t xml:space="preserve">net </w:t>
      </w:r>
      <w:r w:rsidR="006C3941">
        <w:rPr>
          <w:sz w:val="24"/>
          <w:szCs w:val="24"/>
        </w:rPr>
        <w:t>ERCOT transmission payments</w:t>
      </w:r>
      <w:r>
        <w:rPr>
          <w:sz w:val="24"/>
          <w:szCs w:val="24"/>
        </w:rPr>
        <w:t xml:space="preserve">) are included in the wholesale revenue requirement and will drive </w:t>
      </w:r>
      <w:r w:rsidR="00242D98">
        <w:rPr>
          <w:sz w:val="24"/>
          <w:szCs w:val="24"/>
        </w:rPr>
        <w:t>the Company</w:t>
      </w:r>
      <w:r>
        <w:rPr>
          <w:sz w:val="24"/>
          <w:szCs w:val="24"/>
        </w:rPr>
        <w:t>’s wholesale revenues subject to Texas Margins Tax.</w:t>
      </w:r>
    </w:p>
    <w:p w:rsidR="004A6B6A" w:rsidRDefault="004A6B6A" w:rsidP="004A6B6A">
      <w:pPr>
        <w:spacing w:line="480" w:lineRule="auto"/>
        <w:ind w:left="720" w:hanging="720"/>
        <w:jc w:val="both"/>
        <w:rPr>
          <w:b/>
          <w:sz w:val="24"/>
          <w:szCs w:val="24"/>
        </w:rPr>
      </w:pPr>
      <w:r w:rsidRPr="00C54545">
        <w:rPr>
          <w:b/>
          <w:sz w:val="24"/>
          <w:szCs w:val="24"/>
        </w:rPr>
        <w:t>Q.</w:t>
      </w:r>
      <w:r w:rsidRPr="00C54545">
        <w:rPr>
          <w:b/>
          <w:sz w:val="24"/>
          <w:szCs w:val="24"/>
        </w:rPr>
        <w:tab/>
      </w:r>
      <w:r>
        <w:rPr>
          <w:b/>
          <w:sz w:val="24"/>
          <w:szCs w:val="24"/>
        </w:rPr>
        <w:t>Which functionalized costs are included in the retail delivery revenue requirement?</w:t>
      </w:r>
    </w:p>
    <w:p w:rsidR="004A6B6A" w:rsidRDefault="004A6B6A" w:rsidP="004A6B6A">
      <w:pPr>
        <w:spacing w:line="480" w:lineRule="auto"/>
        <w:ind w:left="720" w:hanging="720"/>
        <w:jc w:val="both"/>
        <w:rPr>
          <w:sz w:val="24"/>
          <w:szCs w:val="24"/>
        </w:rPr>
      </w:pPr>
      <w:r w:rsidRPr="00C54545">
        <w:rPr>
          <w:sz w:val="24"/>
          <w:szCs w:val="24"/>
        </w:rPr>
        <w:t>A.</w:t>
      </w:r>
      <w:r w:rsidRPr="00C54545">
        <w:rPr>
          <w:sz w:val="24"/>
          <w:szCs w:val="24"/>
        </w:rPr>
        <w:tab/>
      </w:r>
      <w:r w:rsidR="00C8262C">
        <w:rPr>
          <w:sz w:val="24"/>
          <w:szCs w:val="24"/>
        </w:rPr>
        <w:t>CEHE</w:t>
      </w:r>
      <w:r w:rsidR="00375663" w:rsidRPr="0068705D">
        <w:rPr>
          <w:sz w:val="24"/>
          <w:szCs w:val="24"/>
        </w:rPr>
        <w:t xml:space="preserve">’s </w:t>
      </w:r>
      <w:r w:rsidR="00720552">
        <w:rPr>
          <w:sz w:val="24"/>
          <w:szCs w:val="24"/>
        </w:rPr>
        <w:t xml:space="preserve">total wholesale </w:t>
      </w:r>
      <w:r w:rsidR="00375663" w:rsidRPr="0068705D">
        <w:rPr>
          <w:sz w:val="24"/>
          <w:szCs w:val="24"/>
        </w:rPr>
        <w:t xml:space="preserve">transmission </w:t>
      </w:r>
      <w:r w:rsidR="00720552">
        <w:rPr>
          <w:sz w:val="24"/>
          <w:szCs w:val="24"/>
        </w:rPr>
        <w:t>charges incurred in its role as a DSP</w:t>
      </w:r>
      <w:r w:rsidRPr="0068705D">
        <w:rPr>
          <w:sz w:val="24"/>
          <w:szCs w:val="24"/>
        </w:rPr>
        <w:t>,</w:t>
      </w:r>
      <w:r w:rsidR="00726459">
        <w:rPr>
          <w:rStyle w:val="FootnoteReference"/>
          <w:sz w:val="24"/>
          <w:szCs w:val="24"/>
        </w:rPr>
        <w:footnoteReference w:id="46"/>
      </w:r>
      <w:r>
        <w:rPr>
          <w:sz w:val="24"/>
          <w:szCs w:val="24"/>
        </w:rPr>
        <w:t xml:space="preserve"> plus all the costs assigned to the distribution, metering, and customer service functions, will be included in the retail delivery revenue requirement and will drive retail </w:t>
      </w:r>
      <w:r w:rsidR="00874329">
        <w:rPr>
          <w:sz w:val="24"/>
          <w:szCs w:val="24"/>
        </w:rPr>
        <w:t xml:space="preserve">base </w:t>
      </w:r>
      <w:r>
        <w:rPr>
          <w:sz w:val="24"/>
          <w:szCs w:val="24"/>
        </w:rPr>
        <w:t>revenues subject to Texas Margins Tax.</w:t>
      </w:r>
    </w:p>
    <w:p w:rsidR="004A6B6A" w:rsidRDefault="004A6B6A" w:rsidP="004A6B6A">
      <w:pPr>
        <w:spacing w:line="480" w:lineRule="auto"/>
        <w:ind w:left="720" w:hanging="720"/>
        <w:jc w:val="both"/>
        <w:rPr>
          <w:b/>
          <w:sz w:val="24"/>
          <w:szCs w:val="24"/>
        </w:rPr>
      </w:pPr>
      <w:r w:rsidRPr="009F4225">
        <w:rPr>
          <w:b/>
          <w:sz w:val="24"/>
          <w:szCs w:val="24"/>
        </w:rPr>
        <w:t>Q.</w:t>
      </w:r>
      <w:r w:rsidRPr="009F4225">
        <w:rPr>
          <w:b/>
          <w:sz w:val="24"/>
          <w:szCs w:val="24"/>
        </w:rPr>
        <w:tab/>
      </w:r>
      <w:r>
        <w:rPr>
          <w:b/>
          <w:sz w:val="24"/>
          <w:szCs w:val="24"/>
        </w:rPr>
        <w:t xml:space="preserve">How does the Company propose to </w:t>
      </w:r>
      <w:r w:rsidR="0068705D">
        <w:rPr>
          <w:b/>
          <w:sz w:val="24"/>
          <w:szCs w:val="24"/>
        </w:rPr>
        <w:t>functionalize</w:t>
      </w:r>
      <w:r>
        <w:rPr>
          <w:b/>
          <w:sz w:val="24"/>
          <w:szCs w:val="24"/>
        </w:rPr>
        <w:t xml:space="preserve"> Texas Margins Tax</w:t>
      </w:r>
      <w:r w:rsidR="0068705D">
        <w:rPr>
          <w:b/>
          <w:sz w:val="24"/>
          <w:szCs w:val="24"/>
        </w:rPr>
        <w:t xml:space="preserve"> expense</w:t>
      </w:r>
      <w:r>
        <w:rPr>
          <w:b/>
          <w:sz w:val="24"/>
          <w:szCs w:val="24"/>
        </w:rPr>
        <w:t>?</w:t>
      </w:r>
    </w:p>
    <w:p w:rsidR="004A6B6A" w:rsidRDefault="004A6B6A" w:rsidP="00EB33AE">
      <w:pPr>
        <w:spacing w:line="480" w:lineRule="auto"/>
        <w:ind w:left="720" w:hanging="720"/>
        <w:jc w:val="both"/>
        <w:rPr>
          <w:sz w:val="24"/>
          <w:szCs w:val="24"/>
        </w:rPr>
      </w:pPr>
      <w:r w:rsidRPr="009F4225">
        <w:rPr>
          <w:sz w:val="24"/>
          <w:szCs w:val="24"/>
        </w:rPr>
        <w:lastRenderedPageBreak/>
        <w:t>A.</w:t>
      </w:r>
      <w:r w:rsidRPr="009F4225">
        <w:rPr>
          <w:sz w:val="24"/>
          <w:szCs w:val="24"/>
        </w:rPr>
        <w:tab/>
      </w:r>
      <w:r w:rsidR="006D58B4">
        <w:rPr>
          <w:sz w:val="24"/>
          <w:szCs w:val="24"/>
        </w:rPr>
        <w:t>The Company includes FERC A</w:t>
      </w:r>
      <w:r>
        <w:rPr>
          <w:sz w:val="24"/>
          <w:szCs w:val="24"/>
        </w:rPr>
        <w:t xml:space="preserve">ccount 565 in its calculation of a “transmission function revenue </w:t>
      </w:r>
      <w:r w:rsidR="00700626">
        <w:rPr>
          <w:sz w:val="24"/>
          <w:szCs w:val="24"/>
        </w:rPr>
        <w:t>requirement.”  It then allocates</w:t>
      </w:r>
      <w:r>
        <w:rPr>
          <w:sz w:val="24"/>
          <w:szCs w:val="24"/>
        </w:rPr>
        <w:t xml:space="preserve"> Texas Margins Tax </w:t>
      </w:r>
      <w:r w:rsidR="00700626">
        <w:rPr>
          <w:sz w:val="24"/>
          <w:szCs w:val="24"/>
        </w:rPr>
        <w:t xml:space="preserve">expense </w:t>
      </w:r>
      <w:r>
        <w:rPr>
          <w:sz w:val="24"/>
          <w:szCs w:val="24"/>
        </w:rPr>
        <w:t>to the transmission function based on the transmission function’s calculated “revenue requirement.”  All the Texas Margins Tax assigned to the transmission function are the</w:t>
      </w:r>
      <w:r w:rsidR="00EB33AE">
        <w:rPr>
          <w:sz w:val="24"/>
          <w:szCs w:val="24"/>
        </w:rPr>
        <w:t>n uplifted to wholesale TCOS.</w:t>
      </w:r>
    </w:p>
    <w:p w:rsidR="007B4A52" w:rsidRPr="007B4A52" w:rsidRDefault="007B4A52" w:rsidP="004A6B6A">
      <w:pPr>
        <w:spacing w:line="480" w:lineRule="auto"/>
        <w:ind w:left="720" w:hanging="720"/>
        <w:jc w:val="both"/>
        <w:rPr>
          <w:b/>
          <w:sz w:val="24"/>
          <w:szCs w:val="24"/>
        </w:rPr>
      </w:pPr>
      <w:r w:rsidRPr="007B4A52">
        <w:rPr>
          <w:b/>
          <w:sz w:val="24"/>
          <w:szCs w:val="24"/>
        </w:rPr>
        <w:t>Q.</w:t>
      </w:r>
      <w:r w:rsidRPr="007B4A52">
        <w:rPr>
          <w:b/>
          <w:sz w:val="24"/>
          <w:szCs w:val="24"/>
        </w:rPr>
        <w:tab/>
        <w:t>Do you support the Company’s proposal?</w:t>
      </w:r>
    </w:p>
    <w:p w:rsidR="00A77F70" w:rsidRDefault="007B4A52" w:rsidP="007B4A52">
      <w:pPr>
        <w:spacing w:line="480" w:lineRule="auto"/>
        <w:ind w:left="720" w:hanging="720"/>
        <w:jc w:val="both"/>
        <w:rPr>
          <w:sz w:val="24"/>
          <w:szCs w:val="24"/>
        </w:rPr>
      </w:pPr>
      <w:r>
        <w:rPr>
          <w:sz w:val="24"/>
          <w:szCs w:val="24"/>
        </w:rPr>
        <w:t>A.</w:t>
      </w:r>
      <w:r>
        <w:rPr>
          <w:sz w:val="24"/>
          <w:szCs w:val="24"/>
        </w:rPr>
        <w:tab/>
        <w:t xml:space="preserve">No.  </w:t>
      </w:r>
      <w:r w:rsidR="004A6B6A">
        <w:rPr>
          <w:sz w:val="24"/>
          <w:szCs w:val="24"/>
        </w:rPr>
        <w:t xml:space="preserve">The Company’s proposal is inconsistent with cost causation because </w:t>
      </w:r>
      <w:r w:rsidR="00242D98">
        <w:rPr>
          <w:sz w:val="24"/>
          <w:szCs w:val="24"/>
        </w:rPr>
        <w:t>CEHE</w:t>
      </w:r>
      <w:r w:rsidR="004A6B6A">
        <w:rPr>
          <w:sz w:val="24"/>
          <w:szCs w:val="24"/>
        </w:rPr>
        <w:t>’s revenues</w:t>
      </w:r>
      <w:r w:rsidR="00005DA6">
        <w:rPr>
          <w:sz w:val="24"/>
          <w:szCs w:val="24"/>
        </w:rPr>
        <w:t xml:space="preserve"> </w:t>
      </w:r>
      <w:r w:rsidR="00FB6A3D">
        <w:rPr>
          <w:sz w:val="24"/>
          <w:szCs w:val="24"/>
        </w:rPr>
        <w:t>associated with</w:t>
      </w:r>
      <w:r w:rsidR="004A6B6A">
        <w:rPr>
          <w:sz w:val="24"/>
          <w:szCs w:val="24"/>
        </w:rPr>
        <w:t xml:space="preserve"> </w:t>
      </w:r>
      <w:r w:rsidR="00AF4D2D">
        <w:rPr>
          <w:sz w:val="24"/>
          <w:szCs w:val="24"/>
        </w:rPr>
        <w:t xml:space="preserve">transmission </w:t>
      </w:r>
      <w:r w:rsidR="00FB6A3D">
        <w:rPr>
          <w:sz w:val="24"/>
          <w:szCs w:val="24"/>
        </w:rPr>
        <w:t>system charges</w:t>
      </w:r>
      <w:r w:rsidR="004A6B6A">
        <w:rPr>
          <w:sz w:val="24"/>
          <w:szCs w:val="24"/>
        </w:rPr>
        <w:t xml:space="preserve"> </w:t>
      </w:r>
      <w:r w:rsidR="00005DA6">
        <w:rPr>
          <w:sz w:val="24"/>
          <w:szCs w:val="24"/>
        </w:rPr>
        <w:t>will</w:t>
      </w:r>
      <w:r w:rsidR="004A6B6A">
        <w:rPr>
          <w:sz w:val="24"/>
          <w:szCs w:val="24"/>
        </w:rPr>
        <w:t xml:space="preserve"> be collected </w:t>
      </w:r>
      <w:r w:rsidR="00EC15E6">
        <w:rPr>
          <w:sz w:val="24"/>
          <w:szCs w:val="24"/>
        </w:rPr>
        <w:t xml:space="preserve">from </w:t>
      </w:r>
      <w:r w:rsidR="00242D98">
        <w:rPr>
          <w:sz w:val="24"/>
          <w:szCs w:val="24"/>
        </w:rPr>
        <w:t>the Company</w:t>
      </w:r>
      <w:r w:rsidR="00EC15E6">
        <w:rPr>
          <w:sz w:val="24"/>
          <w:szCs w:val="24"/>
        </w:rPr>
        <w:t xml:space="preserve">’s retail customers </w:t>
      </w:r>
      <w:r w:rsidR="004A6B6A">
        <w:rPr>
          <w:sz w:val="24"/>
          <w:szCs w:val="24"/>
        </w:rPr>
        <w:t xml:space="preserve">under its retail rates, not its wholesale rates.  </w:t>
      </w:r>
      <w:r w:rsidR="00A77F70">
        <w:rPr>
          <w:sz w:val="24"/>
          <w:szCs w:val="24"/>
        </w:rPr>
        <w:t xml:space="preserve">Since the </w:t>
      </w:r>
      <w:r w:rsidR="00EC15E6">
        <w:rPr>
          <w:sz w:val="24"/>
          <w:szCs w:val="24"/>
        </w:rPr>
        <w:t xml:space="preserve">transmission system charge </w:t>
      </w:r>
      <w:r w:rsidR="00A77F70">
        <w:rPr>
          <w:sz w:val="24"/>
          <w:szCs w:val="24"/>
        </w:rPr>
        <w:t xml:space="preserve">revenues </w:t>
      </w:r>
      <w:r w:rsidR="00422743">
        <w:rPr>
          <w:sz w:val="24"/>
          <w:szCs w:val="24"/>
        </w:rPr>
        <w:t>will be</w:t>
      </w:r>
      <w:r w:rsidR="00A77F70">
        <w:rPr>
          <w:sz w:val="24"/>
          <w:szCs w:val="24"/>
        </w:rPr>
        <w:t xml:space="preserve"> collected from retail customers, the Texas Margins tax</w:t>
      </w:r>
      <w:r w:rsidR="00700626">
        <w:rPr>
          <w:sz w:val="24"/>
          <w:szCs w:val="24"/>
        </w:rPr>
        <w:t>es</w:t>
      </w:r>
      <w:r w:rsidR="00A77F70">
        <w:rPr>
          <w:sz w:val="24"/>
          <w:szCs w:val="24"/>
        </w:rPr>
        <w:t xml:space="preserve"> levied on those revenues belong in the retail revenue requirement, not the wholesa</w:t>
      </w:r>
      <w:r w:rsidR="008938C2">
        <w:rPr>
          <w:sz w:val="24"/>
          <w:szCs w:val="24"/>
        </w:rPr>
        <w:t xml:space="preserve">le revenue requirement </w:t>
      </w:r>
      <w:r w:rsidR="00005DA6">
        <w:rPr>
          <w:sz w:val="24"/>
          <w:szCs w:val="24"/>
        </w:rPr>
        <w:t>(</w:t>
      </w:r>
      <w:r w:rsidR="008938C2">
        <w:rPr>
          <w:sz w:val="24"/>
          <w:szCs w:val="24"/>
        </w:rPr>
        <w:t xml:space="preserve">as proposed by </w:t>
      </w:r>
      <w:r w:rsidR="00C8262C">
        <w:rPr>
          <w:sz w:val="24"/>
          <w:szCs w:val="24"/>
        </w:rPr>
        <w:t>CEHE</w:t>
      </w:r>
      <w:r w:rsidR="00005DA6">
        <w:rPr>
          <w:sz w:val="24"/>
          <w:szCs w:val="24"/>
        </w:rPr>
        <w:t>)</w:t>
      </w:r>
      <w:r w:rsidR="008938C2">
        <w:rPr>
          <w:sz w:val="24"/>
          <w:szCs w:val="24"/>
        </w:rPr>
        <w:t>.</w:t>
      </w:r>
    </w:p>
    <w:p w:rsidR="004A6B6A" w:rsidRPr="00856C15" w:rsidRDefault="004A6B6A" w:rsidP="007B4A52">
      <w:pPr>
        <w:spacing w:line="480" w:lineRule="auto"/>
        <w:ind w:left="720" w:firstLine="720"/>
        <w:jc w:val="both"/>
        <w:rPr>
          <w:sz w:val="24"/>
          <w:szCs w:val="24"/>
          <w:highlight w:val="yellow"/>
        </w:rPr>
      </w:pPr>
      <w:r>
        <w:rPr>
          <w:sz w:val="24"/>
          <w:szCs w:val="24"/>
        </w:rPr>
        <w:t xml:space="preserve">The “transmission function revenue requirement” calculated by the </w:t>
      </w:r>
      <w:r w:rsidRPr="00422743">
        <w:rPr>
          <w:sz w:val="24"/>
          <w:szCs w:val="24"/>
        </w:rPr>
        <w:t>Company (</w:t>
      </w:r>
      <w:r w:rsidR="00422743" w:rsidRPr="00422743">
        <w:rPr>
          <w:sz w:val="24"/>
          <w:szCs w:val="24"/>
        </w:rPr>
        <w:t>$942.6 million</w:t>
      </w:r>
      <w:r w:rsidRPr="00422743">
        <w:rPr>
          <w:sz w:val="24"/>
          <w:szCs w:val="24"/>
        </w:rPr>
        <w:t>) is a much</w:t>
      </w:r>
      <w:r>
        <w:rPr>
          <w:sz w:val="24"/>
          <w:szCs w:val="24"/>
        </w:rPr>
        <w:t xml:space="preserve"> higher value that its </w:t>
      </w:r>
      <w:r w:rsidR="00422743">
        <w:rPr>
          <w:sz w:val="24"/>
          <w:szCs w:val="24"/>
        </w:rPr>
        <w:t xml:space="preserve">requested </w:t>
      </w:r>
      <w:r>
        <w:rPr>
          <w:sz w:val="24"/>
          <w:szCs w:val="24"/>
        </w:rPr>
        <w:t>wholesale transmission revenue requirement (</w:t>
      </w:r>
      <w:r w:rsidR="00422743">
        <w:rPr>
          <w:sz w:val="24"/>
          <w:szCs w:val="24"/>
        </w:rPr>
        <w:t>$395.8 million</w:t>
      </w:r>
      <w:r>
        <w:rPr>
          <w:sz w:val="24"/>
          <w:szCs w:val="24"/>
        </w:rPr>
        <w:t xml:space="preserve">).  </w:t>
      </w:r>
      <w:r w:rsidR="00A77F70">
        <w:rPr>
          <w:sz w:val="24"/>
          <w:szCs w:val="24"/>
        </w:rPr>
        <w:t>By</w:t>
      </w:r>
      <w:r w:rsidR="007B4A52">
        <w:rPr>
          <w:sz w:val="24"/>
          <w:szCs w:val="24"/>
        </w:rPr>
        <w:t xml:space="preserve"> using the higher revenue </w:t>
      </w:r>
      <w:r w:rsidR="00A77F70">
        <w:rPr>
          <w:sz w:val="24"/>
          <w:szCs w:val="24"/>
        </w:rPr>
        <w:t>amount</w:t>
      </w:r>
      <w:r w:rsidR="007B4A52">
        <w:rPr>
          <w:sz w:val="24"/>
          <w:szCs w:val="24"/>
        </w:rPr>
        <w:t xml:space="preserve"> to </w:t>
      </w:r>
      <w:r w:rsidR="00700626">
        <w:rPr>
          <w:sz w:val="24"/>
          <w:szCs w:val="24"/>
        </w:rPr>
        <w:t>functionalize</w:t>
      </w:r>
      <w:r w:rsidR="007B4A52">
        <w:rPr>
          <w:sz w:val="24"/>
          <w:szCs w:val="24"/>
        </w:rPr>
        <w:t xml:space="preserve"> Texas Margins Tax</w:t>
      </w:r>
      <w:r w:rsidR="001E308F">
        <w:rPr>
          <w:sz w:val="24"/>
          <w:szCs w:val="24"/>
        </w:rPr>
        <w:t xml:space="preserve"> to wholesale</w:t>
      </w:r>
      <w:r w:rsidR="007B4A52">
        <w:rPr>
          <w:sz w:val="24"/>
          <w:szCs w:val="24"/>
        </w:rPr>
        <w:t xml:space="preserve">, the Company </w:t>
      </w:r>
      <w:r w:rsidR="00700626">
        <w:rPr>
          <w:sz w:val="24"/>
          <w:szCs w:val="24"/>
        </w:rPr>
        <w:t>over-allocates</w:t>
      </w:r>
      <w:r w:rsidR="007B4A52">
        <w:rPr>
          <w:sz w:val="24"/>
          <w:szCs w:val="24"/>
        </w:rPr>
        <w:t xml:space="preserve"> </w:t>
      </w:r>
      <w:r w:rsidR="00513CC0">
        <w:rPr>
          <w:sz w:val="24"/>
          <w:szCs w:val="24"/>
        </w:rPr>
        <w:t>margins</w:t>
      </w:r>
      <w:r w:rsidR="0042125B">
        <w:rPr>
          <w:sz w:val="24"/>
          <w:szCs w:val="24"/>
        </w:rPr>
        <w:t xml:space="preserve"> </w:t>
      </w:r>
      <w:r w:rsidR="007B4A52">
        <w:rPr>
          <w:sz w:val="24"/>
          <w:szCs w:val="24"/>
        </w:rPr>
        <w:t xml:space="preserve">taxes to </w:t>
      </w:r>
      <w:r w:rsidR="00A77F70">
        <w:rPr>
          <w:sz w:val="24"/>
          <w:szCs w:val="24"/>
        </w:rPr>
        <w:t xml:space="preserve">wholesale </w:t>
      </w:r>
      <w:r w:rsidR="0042125B">
        <w:rPr>
          <w:sz w:val="24"/>
          <w:szCs w:val="24"/>
        </w:rPr>
        <w:t>TCOS.</w:t>
      </w:r>
      <w:r w:rsidR="00C2535B">
        <w:rPr>
          <w:sz w:val="24"/>
          <w:szCs w:val="24"/>
        </w:rPr>
        <w:t xml:space="preserve">  A visual </w:t>
      </w:r>
      <w:r w:rsidR="000629A6">
        <w:rPr>
          <w:sz w:val="24"/>
          <w:szCs w:val="24"/>
        </w:rPr>
        <w:t>comparison</w:t>
      </w:r>
      <w:r w:rsidR="00C2535B">
        <w:rPr>
          <w:sz w:val="24"/>
          <w:szCs w:val="24"/>
        </w:rPr>
        <w:t xml:space="preserve"> of the Company’s </w:t>
      </w:r>
      <w:r w:rsidR="000629A6">
        <w:rPr>
          <w:sz w:val="24"/>
          <w:szCs w:val="24"/>
        </w:rPr>
        <w:t xml:space="preserve">approach, which does not tie to its request, and </w:t>
      </w:r>
      <w:r w:rsidR="000629A6">
        <w:rPr>
          <w:sz w:val="24"/>
          <w:szCs w:val="24"/>
        </w:rPr>
        <w:lastRenderedPageBreak/>
        <w:t>Staff’s approach, which ties to the C</w:t>
      </w:r>
      <w:r w:rsidR="00242D98">
        <w:rPr>
          <w:sz w:val="24"/>
          <w:szCs w:val="24"/>
        </w:rPr>
        <w:t>EHE</w:t>
      </w:r>
      <w:r w:rsidR="000629A6">
        <w:rPr>
          <w:sz w:val="24"/>
          <w:szCs w:val="24"/>
        </w:rPr>
        <w:t>’s request as shown on page 12 of the Company’s Application,</w:t>
      </w:r>
      <w:r w:rsidR="00C2535B">
        <w:rPr>
          <w:sz w:val="24"/>
          <w:szCs w:val="24"/>
        </w:rPr>
        <w:t xml:space="preserve"> </w:t>
      </w:r>
      <w:r w:rsidR="00435352">
        <w:rPr>
          <w:sz w:val="24"/>
          <w:szCs w:val="24"/>
        </w:rPr>
        <w:t>can be seen below</w:t>
      </w:r>
      <w:r w:rsidR="00C2535B" w:rsidRPr="00856C15">
        <w:rPr>
          <w:sz w:val="24"/>
          <w:szCs w:val="24"/>
        </w:rPr>
        <w:t>:</w:t>
      </w:r>
    </w:p>
    <w:p w:rsidR="008E720B" w:rsidRDefault="008E720B" w:rsidP="00385057">
      <w:pPr>
        <w:ind w:left="2880" w:hanging="2160"/>
        <w:jc w:val="both"/>
        <w:rPr>
          <w:sz w:val="24"/>
          <w:szCs w:val="24"/>
        </w:rPr>
      </w:pPr>
      <w:r w:rsidRPr="00F944AE">
        <w:rPr>
          <w:sz w:val="24"/>
          <w:szCs w:val="24"/>
        </w:rPr>
        <w:t xml:space="preserve">Figure </w:t>
      </w:r>
      <w:r w:rsidR="00F944AE" w:rsidRPr="00F944AE">
        <w:rPr>
          <w:sz w:val="24"/>
          <w:szCs w:val="24"/>
        </w:rPr>
        <w:t>BTM-3</w:t>
      </w:r>
      <w:r w:rsidR="00385057">
        <w:rPr>
          <w:sz w:val="24"/>
          <w:szCs w:val="24"/>
        </w:rPr>
        <w:tab/>
        <w:t xml:space="preserve">Mapping </w:t>
      </w:r>
      <w:r w:rsidR="00C8262C">
        <w:rPr>
          <w:sz w:val="24"/>
          <w:szCs w:val="24"/>
        </w:rPr>
        <w:t>CEHE</w:t>
      </w:r>
      <w:r w:rsidR="00385057">
        <w:rPr>
          <w:sz w:val="24"/>
          <w:szCs w:val="24"/>
        </w:rPr>
        <w:t>’s Requested Revenue Requirements to the Correct Functionalization of Texas Gross Margins Tax Expenses</w:t>
      </w:r>
    </w:p>
    <w:p w:rsidR="00B20A8D" w:rsidRDefault="00B20A8D" w:rsidP="00B20A8D">
      <w:pPr>
        <w:spacing w:line="480" w:lineRule="auto"/>
        <w:jc w:val="right"/>
        <w:rPr>
          <w:sz w:val="24"/>
          <w:szCs w:val="24"/>
        </w:rPr>
      </w:pPr>
      <w:r>
        <w:rPr>
          <w:noProof/>
        </w:rPr>
        <mc:AlternateContent>
          <mc:Choice Requires="wps">
            <w:drawing>
              <wp:anchor distT="0" distB="0" distL="114300" distR="114300" simplePos="0" relativeHeight="251660288" behindDoc="0" locked="0" layoutInCell="1" allowOverlap="1">
                <wp:simplePos x="0" y="0"/>
                <wp:positionH relativeFrom="column">
                  <wp:posOffset>2835998</wp:posOffset>
                </wp:positionH>
                <wp:positionV relativeFrom="paragraph">
                  <wp:posOffset>3485585</wp:posOffset>
                </wp:positionV>
                <wp:extent cx="1392744" cy="1383904"/>
                <wp:effectExtent l="38100" t="38100" r="74295" b="64135"/>
                <wp:wrapNone/>
                <wp:docPr id="11" name="Straight Arrow Connector 11"/>
                <wp:cNvGraphicFramePr/>
                <a:graphic xmlns:a="http://schemas.openxmlformats.org/drawingml/2006/main">
                  <a:graphicData uri="http://schemas.microsoft.com/office/word/2010/wordprocessingShape">
                    <wps:wsp>
                      <wps:cNvCnPr/>
                      <wps:spPr>
                        <a:xfrm>
                          <a:off x="0" y="0"/>
                          <a:ext cx="1392744" cy="1383904"/>
                        </a:xfrm>
                        <a:prstGeom prst="straightConnector1">
                          <a:avLst/>
                        </a:prstGeom>
                        <a:ln w="12700">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BF26BF" id="_x0000_t32" coordsize="21600,21600" o:spt="32" o:oned="t" path="m,l21600,21600e" filled="f">
                <v:path arrowok="t" fillok="f" o:connecttype="none"/>
                <o:lock v:ext="edit" shapetype="t"/>
              </v:shapetype>
              <v:shape id="Straight Arrow Connector 11" o:spid="_x0000_s1026" type="#_x0000_t32" style="position:absolute;margin-left:223.3pt;margin-top:274.45pt;width:109.65pt;height:10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" strokecolor="#5b9bd5 [3204]" strokeweight="1pt">
                <v:stroke startarrow="oval" endarrow="block"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4044635</wp:posOffset>
                </wp:positionH>
                <wp:positionV relativeFrom="paragraph">
                  <wp:posOffset>3159659</wp:posOffset>
                </wp:positionV>
                <wp:extent cx="750683" cy="2376013"/>
                <wp:effectExtent l="38100" t="38100" r="49530" b="62865"/>
                <wp:wrapNone/>
                <wp:docPr id="15" name="Straight Arrow Connector 15"/>
                <wp:cNvGraphicFramePr/>
                <a:graphic xmlns:a="http://schemas.openxmlformats.org/drawingml/2006/main">
                  <a:graphicData uri="http://schemas.microsoft.com/office/word/2010/wordprocessingShape">
                    <wps:wsp>
                      <wps:cNvCnPr/>
                      <wps:spPr>
                        <a:xfrm>
                          <a:off x="0" y="0"/>
                          <a:ext cx="750683" cy="2376013"/>
                        </a:xfrm>
                        <a:prstGeom prst="straightConnector1">
                          <a:avLst/>
                        </a:prstGeom>
                        <a:ln w="12700">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5434BE" id="Straight Arrow Connector 15" o:spid="_x0000_s1026" type="#_x0000_t32" style="position:absolute;margin-left:318.5pt;margin-top:248.8pt;width:59.1pt;height:187.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" strokecolor="#5b9bd5 [3204]" strokeweight="1pt">
                <v:stroke startarrow="oval" endarrow="block"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4121590</wp:posOffset>
                </wp:positionH>
                <wp:positionV relativeFrom="paragraph">
                  <wp:posOffset>2557604</wp:posOffset>
                </wp:positionV>
                <wp:extent cx="728804" cy="2811101"/>
                <wp:effectExtent l="38100" t="38100" r="52705" b="66040"/>
                <wp:wrapNone/>
                <wp:docPr id="14" name="Straight Arrow Connector 14"/>
                <wp:cNvGraphicFramePr/>
                <a:graphic xmlns:a="http://schemas.openxmlformats.org/drawingml/2006/main">
                  <a:graphicData uri="http://schemas.microsoft.com/office/word/2010/wordprocessingShape">
                    <wps:wsp>
                      <wps:cNvCnPr/>
                      <wps:spPr>
                        <a:xfrm>
                          <a:off x="0" y="0"/>
                          <a:ext cx="728804" cy="2811101"/>
                        </a:xfrm>
                        <a:prstGeom prst="straightConnector1">
                          <a:avLst/>
                        </a:prstGeom>
                        <a:ln w="12700">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5D18B1" id="Straight Arrow Connector 14" o:spid="_x0000_s1026" type="#_x0000_t32" style="position:absolute;margin-left:324.55pt;margin-top:201.4pt;width:57.4pt;height:22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" strokecolor="#5b9bd5 [3204]" strokeweight="1pt">
                <v:stroke startarrow="oval" endarrow="block" joinstyle="miter"/>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4184964</wp:posOffset>
                </wp:positionH>
                <wp:positionV relativeFrom="paragraph">
                  <wp:posOffset>1991762</wp:posOffset>
                </wp:positionV>
                <wp:extent cx="679010" cy="3132499"/>
                <wp:effectExtent l="38100" t="38100" r="64135" b="48895"/>
                <wp:wrapNone/>
                <wp:docPr id="12" name="Straight Arrow Connector 12"/>
                <wp:cNvGraphicFramePr/>
                <a:graphic xmlns:a="http://schemas.openxmlformats.org/drawingml/2006/main">
                  <a:graphicData uri="http://schemas.microsoft.com/office/word/2010/wordprocessingShape">
                    <wps:wsp>
                      <wps:cNvCnPr/>
                      <wps:spPr>
                        <a:xfrm>
                          <a:off x="0" y="0"/>
                          <a:ext cx="679010" cy="3132499"/>
                        </a:xfrm>
                        <a:prstGeom prst="straightConnector1">
                          <a:avLst/>
                        </a:prstGeom>
                        <a:ln w="12700">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4AB19C" id="Straight Arrow Connector 12" o:spid="_x0000_s1026" type="#_x0000_t32" style="position:absolute;margin-left:329.5pt;margin-top:156.85pt;width:53.45pt;height:24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" strokecolor="#5b9bd5 [3204]" strokeweight="1pt">
                <v:stroke startarrow="oval" endarrow="block"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4194019</wp:posOffset>
                </wp:positionH>
                <wp:positionV relativeFrom="paragraph">
                  <wp:posOffset>1109050</wp:posOffset>
                </wp:positionV>
                <wp:extent cx="683090" cy="3539288"/>
                <wp:effectExtent l="38100" t="38100" r="60325" b="61595"/>
                <wp:wrapNone/>
                <wp:docPr id="6" name="Straight Arrow Connector 6"/>
                <wp:cNvGraphicFramePr/>
                <a:graphic xmlns:a="http://schemas.openxmlformats.org/drawingml/2006/main">
                  <a:graphicData uri="http://schemas.microsoft.com/office/word/2010/wordprocessingShape">
                    <wps:wsp>
                      <wps:cNvCnPr/>
                      <wps:spPr>
                        <a:xfrm>
                          <a:off x="0" y="0"/>
                          <a:ext cx="683090" cy="3539288"/>
                        </a:xfrm>
                        <a:prstGeom prst="straightConnector1">
                          <a:avLst/>
                        </a:prstGeom>
                        <a:ln w="12700">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1ECA29" id="Straight Arrow Connector 6" o:spid="_x0000_s1026" type="#_x0000_t32" style="position:absolute;margin-left:330.25pt;margin-top:87.35pt;width:53.8pt;height:27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" strokecolor="#5b9bd5 [3204]" strokeweight="1pt">
                <v:stroke startarrow="oval" endarrow="block" joinstyle="miter"/>
              </v:shape>
            </w:pict>
          </mc:Fallback>
        </mc:AlternateContent>
      </w:r>
      <w:r w:rsidR="006B5D53" w:rsidRPr="006B5D53">
        <w:rPr>
          <w:noProof/>
        </w:rPr>
        <w:drawing>
          <wp:inline distT="0" distB="0" distL="0" distR="0">
            <wp:extent cx="3630168" cy="379476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0168" cy="3794760"/>
                    </a:xfrm>
                    <a:prstGeom prst="rect">
                      <a:avLst/>
                    </a:prstGeom>
                    <a:noFill/>
                    <a:ln>
                      <a:noFill/>
                    </a:ln>
                  </pic:spPr>
                </pic:pic>
              </a:graphicData>
            </a:graphic>
          </wp:inline>
        </w:drawing>
      </w:r>
    </w:p>
    <w:p w:rsidR="008E720B" w:rsidRPr="00716D4C" w:rsidRDefault="006B5D53" w:rsidP="00716D4C">
      <w:pPr>
        <w:spacing w:line="480" w:lineRule="auto"/>
        <w:ind w:left="720"/>
        <w:jc w:val="center"/>
        <w:rPr>
          <w:sz w:val="24"/>
          <w:szCs w:val="24"/>
        </w:rPr>
      </w:pPr>
      <w:r w:rsidRPr="006B5D53">
        <w:rPr>
          <w:noProof/>
        </w:rPr>
        <w:drawing>
          <wp:inline distT="0" distB="0" distL="0" distR="0">
            <wp:extent cx="5486400" cy="2336761"/>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336761"/>
                    </a:xfrm>
                    <a:prstGeom prst="rect">
                      <a:avLst/>
                    </a:prstGeom>
                    <a:noFill/>
                    <a:ln>
                      <a:noFill/>
                    </a:ln>
                  </pic:spPr>
                </pic:pic>
              </a:graphicData>
            </a:graphic>
          </wp:inline>
        </w:drawing>
      </w:r>
    </w:p>
    <w:p w:rsidR="00465125" w:rsidRDefault="00465125" w:rsidP="007B4A52">
      <w:pPr>
        <w:spacing w:line="480" w:lineRule="auto"/>
        <w:ind w:left="720" w:firstLine="720"/>
        <w:jc w:val="both"/>
        <w:rPr>
          <w:sz w:val="24"/>
          <w:szCs w:val="24"/>
        </w:rPr>
      </w:pPr>
      <w:r>
        <w:rPr>
          <w:sz w:val="24"/>
          <w:szCs w:val="24"/>
        </w:rPr>
        <w:t xml:space="preserve">The critical flaw in </w:t>
      </w:r>
      <w:r w:rsidR="00242D98">
        <w:rPr>
          <w:sz w:val="24"/>
          <w:szCs w:val="24"/>
        </w:rPr>
        <w:t>CEHE</w:t>
      </w:r>
      <w:r>
        <w:rPr>
          <w:sz w:val="24"/>
          <w:szCs w:val="24"/>
        </w:rPr>
        <w:t xml:space="preserve">’s approach is equating the </w:t>
      </w:r>
      <w:r w:rsidR="008E15D0">
        <w:rPr>
          <w:sz w:val="24"/>
          <w:szCs w:val="24"/>
        </w:rPr>
        <w:t xml:space="preserve">transmission functional revenue requirement </w:t>
      </w:r>
      <w:r w:rsidR="00CF7C32">
        <w:rPr>
          <w:sz w:val="24"/>
          <w:szCs w:val="24"/>
        </w:rPr>
        <w:t xml:space="preserve">(which is </w:t>
      </w:r>
      <w:r w:rsidR="00982D94">
        <w:rPr>
          <w:sz w:val="24"/>
          <w:szCs w:val="24"/>
        </w:rPr>
        <w:t>a component</w:t>
      </w:r>
      <w:r w:rsidR="00CF7C32">
        <w:rPr>
          <w:sz w:val="24"/>
          <w:szCs w:val="24"/>
        </w:rPr>
        <w:t xml:space="preserve"> of </w:t>
      </w:r>
      <w:r w:rsidR="008E15D0">
        <w:rPr>
          <w:sz w:val="24"/>
          <w:szCs w:val="24"/>
        </w:rPr>
        <w:t xml:space="preserve">its </w:t>
      </w:r>
      <w:r w:rsidR="008E15D0" w:rsidRPr="00CF7C32">
        <w:rPr>
          <w:i/>
          <w:sz w:val="24"/>
          <w:szCs w:val="24"/>
        </w:rPr>
        <w:t>retail</w:t>
      </w:r>
      <w:r w:rsidR="008E15D0">
        <w:rPr>
          <w:sz w:val="24"/>
          <w:szCs w:val="24"/>
        </w:rPr>
        <w:t xml:space="preserve"> cost</w:t>
      </w:r>
      <w:r w:rsidR="00CF7C32">
        <w:rPr>
          <w:sz w:val="24"/>
          <w:szCs w:val="24"/>
        </w:rPr>
        <w:t xml:space="preserve"> of service)</w:t>
      </w:r>
      <w:r w:rsidR="008E15D0">
        <w:rPr>
          <w:sz w:val="24"/>
          <w:szCs w:val="24"/>
        </w:rPr>
        <w:t xml:space="preserve"> with its </w:t>
      </w:r>
      <w:r w:rsidRPr="00CF7C32">
        <w:rPr>
          <w:i/>
          <w:sz w:val="24"/>
          <w:szCs w:val="24"/>
        </w:rPr>
        <w:t>wholesale</w:t>
      </w:r>
      <w:r>
        <w:rPr>
          <w:sz w:val="24"/>
          <w:szCs w:val="24"/>
        </w:rPr>
        <w:t xml:space="preserve"> </w:t>
      </w:r>
      <w:r w:rsidR="008E15D0">
        <w:rPr>
          <w:sz w:val="24"/>
          <w:szCs w:val="24"/>
        </w:rPr>
        <w:t xml:space="preserve">transmission revenue requirement.  </w:t>
      </w:r>
    </w:p>
    <w:p w:rsidR="004A6B6A" w:rsidRDefault="004A6B6A" w:rsidP="004A6B6A">
      <w:pPr>
        <w:spacing w:line="480" w:lineRule="auto"/>
        <w:ind w:left="720" w:hanging="720"/>
        <w:jc w:val="both"/>
        <w:rPr>
          <w:b/>
          <w:sz w:val="24"/>
          <w:szCs w:val="24"/>
        </w:rPr>
      </w:pPr>
      <w:r w:rsidRPr="00000B2D">
        <w:rPr>
          <w:b/>
          <w:sz w:val="24"/>
          <w:szCs w:val="24"/>
        </w:rPr>
        <w:lastRenderedPageBreak/>
        <w:t>Q.</w:t>
      </w:r>
      <w:r w:rsidRPr="00000B2D">
        <w:rPr>
          <w:b/>
          <w:sz w:val="24"/>
          <w:szCs w:val="24"/>
        </w:rPr>
        <w:tab/>
      </w:r>
      <w:r>
        <w:rPr>
          <w:b/>
          <w:sz w:val="24"/>
          <w:szCs w:val="24"/>
        </w:rPr>
        <w:t xml:space="preserve">In defense of its proposal, </w:t>
      </w:r>
      <w:r w:rsidR="00C8262C">
        <w:rPr>
          <w:b/>
          <w:sz w:val="24"/>
          <w:szCs w:val="24"/>
        </w:rPr>
        <w:t>CEHE</w:t>
      </w:r>
      <w:r w:rsidRPr="00D12F8D">
        <w:rPr>
          <w:b/>
          <w:sz w:val="24"/>
          <w:szCs w:val="24"/>
        </w:rPr>
        <w:t xml:space="preserve"> states that the transmission function revenue requirement includes the cost of net ERCOT transmission payments.</w:t>
      </w:r>
      <w:r>
        <w:rPr>
          <w:rStyle w:val="FootnoteReference"/>
          <w:b/>
          <w:sz w:val="24"/>
          <w:szCs w:val="24"/>
        </w:rPr>
        <w:footnoteReference w:id="47"/>
      </w:r>
      <w:r>
        <w:rPr>
          <w:b/>
          <w:sz w:val="24"/>
          <w:szCs w:val="24"/>
        </w:rPr>
        <w:t xml:space="preserve">  How do you respond?</w:t>
      </w:r>
    </w:p>
    <w:p w:rsidR="00591150" w:rsidRDefault="004A6B6A" w:rsidP="004A6B6A">
      <w:pPr>
        <w:spacing w:line="480" w:lineRule="auto"/>
        <w:ind w:left="720" w:hanging="720"/>
        <w:jc w:val="both"/>
        <w:rPr>
          <w:sz w:val="24"/>
          <w:szCs w:val="24"/>
        </w:rPr>
      </w:pPr>
      <w:r w:rsidRPr="00000B2D">
        <w:rPr>
          <w:sz w:val="24"/>
          <w:szCs w:val="24"/>
        </w:rPr>
        <w:t>A.</w:t>
      </w:r>
      <w:r w:rsidRPr="00000B2D">
        <w:rPr>
          <w:sz w:val="24"/>
          <w:szCs w:val="24"/>
        </w:rPr>
        <w:tab/>
      </w:r>
      <w:bookmarkStart w:id="11" w:name="OLE_LINK5"/>
      <w:r w:rsidR="00591150">
        <w:rPr>
          <w:sz w:val="24"/>
          <w:szCs w:val="24"/>
        </w:rPr>
        <w:t xml:space="preserve">The transmission function’s revenue requirement is part of the Company’s retail delivery revenue requirement (i.e., ERCOT transmission payments), not its wholesale revenue requirement.  </w:t>
      </w:r>
      <w:bookmarkEnd w:id="11"/>
      <w:r w:rsidR="00591150">
        <w:rPr>
          <w:sz w:val="24"/>
          <w:szCs w:val="24"/>
        </w:rPr>
        <w:t xml:space="preserve">The Company sets its retail rates to fully recover the transmission function’s revenue requirement, including total ERCOT transmission payments.  It is not appropriate to uplift the Texas Margins Tax expense associated with the Company’s total ERCOT transmission payments </w:t>
      </w:r>
      <w:r w:rsidR="00F00F6A">
        <w:rPr>
          <w:sz w:val="24"/>
          <w:szCs w:val="24"/>
        </w:rPr>
        <w:t>(</w:t>
      </w:r>
      <w:r w:rsidR="00536F79">
        <w:rPr>
          <w:sz w:val="24"/>
          <w:szCs w:val="24"/>
        </w:rPr>
        <w:t>incurred to serve retail customers</w:t>
      </w:r>
      <w:r w:rsidR="001F7EAB">
        <w:rPr>
          <w:sz w:val="24"/>
          <w:szCs w:val="24"/>
        </w:rPr>
        <w:t xml:space="preserve"> in its service territory</w:t>
      </w:r>
      <w:r w:rsidR="00F00F6A">
        <w:rPr>
          <w:sz w:val="24"/>
          <w:szCs w:val="24"/>
        </w:rPr>
        <w:t>)</w:t>
      </w:r>
      <w:r w:rsidR="00536F79">
        <w:rPr>
          <w:sz w:val="24"/>
          <w:szCs w:val="24"/>
        </w:rPr>
        <w:t xml:space="preserve"> </w:t>
      </w:r>
      <w:r w:rsidR="00591150">
        <w:rPr>
          <w:sz w:val="24"/>
          <w:szCs w:val="24"/>
        </w:rPr>
        <w:t>to wholesale TCOS</w:t>
      </w:r>
      <w:r w:rsidR="00F00F6A">
        <w:rPr>
          <w:sz w:val="24"/>
          <w:szCs w:val="24"/>
        </w:rPr>
        <w:t xml:space="preserve"> (charged to wholesale customers</w:t>
      </w:r>
      <w:r w:rsidR="001F7EAB">
        <w:rPr>
          <w:sz w:val="24"/>
          <w:szCs w:val="24"/>
        </w:rPr>
        <w:t xml:space="preserve"> across the grid</w:t>
      </w:r>
      <w:r w:rsidR="00F00F6A">
        <w:rPr>
          <w:sz w:val="24"/>
          <w:szCs w:val="24"/>
        </w:rPr>
        <w:t>)</w:t>
      </w:r>
      <w:r w:rsidR="00591150">
        <w:rPr>
          <w:sz w:val="24"/>
          <w:szCs w:val="24"/>
        </w:rPr>
        <w:t>.</w:t>
      </w:r>
    </w:p>
    <w:p w:rsidR="004A6B6A" w:rsidRPr="00982EFD" w:rsidRDefault="004A6B6A" w:rsidP="004A6B6A">
      <w:pPr>
        <w:spacing w:line="480" w:lineRule="auto"/>
        <w:ind w:left="720" w:hanging="720"/>
        <w:jc w:val="both"/>
        <w:rPr>
          <w:b/>
          <w:sz w:val="24"/>
          <w:szCs w:val="24"/>
        </w:rPr>
      </w:pPr>
      <w:r w:rsidRPr="00982EFD">
        <w:rPr>
          <w:b/>
          <w:sz w:val="24"/>
          <w:szCs w:val="24"/>
        </w:rPr>
        <w:t>Q.</w:t>
      </w:r>
      <w:r w:rsidRPr="00982EFD">
        <w:rPr>
          <w:b/>
          <w:sz w:val="24"/>
          <w:szCs w:val="24"/>
        </w:rPr>
        <w:tab/>
      </w:r>
      <w:r w:rsidR="00C8262C">
        <w:rPr>
          <w:b/>
          <w:sz w:val="24"/>
          <w:szCs w:val="24"/>
        </w:rPr>
        <w:t>CEHE</w:t>
      </w:r>
      <w:r w:rsidRPr="00982EFD">
        <w:rPr>
          <w:b/>
          <w:sz w:val="24"/>
          <w:szCs w:val="24"/>
        </w:rPr>
        <w:t xml:space="preserve"> states that “the transmission function revenue requirement includes the cost of net ERCOT transmission payments</w:t>
      </w:r>
      <w:r>
        <w:rPr>
          <w:b/>
          <w:sz w:val="24"/>
          <w:szCs w:val="24"/>
        </w:rPr>
        <w:t>…</w:t>
      </w:r>
      <w:r w:rsidRPr="00982EFD">
        <w:rPr>
          <w:b/>
          <w:sz w:val="24"/>
          <w:szCs w:val="24"/>
        </w:rPr>
        <w:t xml:space="preserve">ERCOT transmission payments are an obligation of </w:t>
      </w:r>
      <w:r w:rsidR="00C8262C">
        <w:rPr>
          <w:b/>
          <w:sz w:val="24"/>
          <w:szCs w:val="24"/>
        </w:rPr>
        <w:t>CEHE</w:t>
      </w:r>
      <w:r w:rsidRPr="00982EFD">
        <w:rPr>
          <w:b/>
          <w:sz w:val="24"/>
          <w:szCs w:val="24"/>
        </w:rPr>
        <w:t xml:space="preserve"> as a distribution service provider.”</w:t>
      </w:r>
      <w:r w:rsidRPr="00982EFD">
        <w:rPr>
          <w:rStyle w:val="FootnoteReference"/>
          <w:b/>
          <w:sz w:val="24"/>
          <w:szCs w:val="24"/>
        </w:rPr>
        <w:footnoteReference w:id="48"/>
      </w:r>
      <w:r w:rsidRPr="00982EFD">
        <w:rPr>
          <w:b/>
          <w:sz w:val="24"/>
          <w:szCs w:val="24"/>
        </w:rPr>
        <w:t xml:space="preserve">  How do you respond?</w:t>
      </w:r>
    </w:p>
    <w:p w:rsidR="004A6B6A" w:rsidRDefault="004A6B6A" w:rsidP="00466D22">
      <w:pPr>
        <w:spacing w:line="480" w:lineRule="auto"/>
        <w:ind w:left="720" w:hanging="720"/>
        <w:jc w:val="both"/>
        <w:rPr>
          <w:sz w:val="24"/>
          <w:szCs w:val="24"/>
        </w:rPr>
      </w:pPr>
      <w:r>
        <w:rPr>
          <w:sz w:val="24"/>
          <w:szCs w:val="24"/>
        </w:rPr>
        <w:t>A.</w:t>
      </w:r>
      <w:r>
        <w:rPr>
          <w:sz w:val="24"/>
          <w:szCs w:val="24"/>
        </w:rPr>
        <w:tab/>
      </w:r>
      <w:r w:rsidR="00C8262C">
        <w:rPr>
          <w:sz w:val="24"/>
          <w:szCs w:val="24"/>
        </w:rPr>
        <w:t>CEHE</w:t>
      </w:r>
      <w:r>
        <w:rPr>
          <w:sz w:val="24"/>
          <w:szCs w:val="24"/>
        </w:rPr>
        <w:t xml:space="preserve"> has conceded that </w:t>
      </w:r>
      <w:r w:rsidR="00701BB5">
        <w:rPr>
          <w:sz w:val="24"/>
          <w:szCs w:val="24"/>
        </w:rPr>
        <w:t xml:space="preserve">net </w:t>
      </w:r>
      <w:r>
        <w:rPr>
          <w:sz w:val="24"/>
          <w:szCs w:val="24"/>
        </w:rPr>
        <w:t>ERCOT transmission payments in</w:t>
      </w:r>
      <w:r w:rsidR="006D58B4">
        <w:rPr>
          <w:sz w:val="24"/>
          <w:szCs w:val="24"/>
        </w:rPr>
        <w:t xml:space="preserve"> A</w:t>
      </w:r>
      <w:r>
        <w:rPr>
          <w:sz w:val="24"/>
          <w:szCs w:val="24"/>
        </w:rPr>
        <w:t>ccount 565, which are functionalized to transmission, are none</w:t>
      </w:r>
      <w:r>
        <w:rPr>
          <w:sz w:val="24"/>
          <w:szCs w:val="24"/>
        </w:rPr>
        <w:lastRenderedPageBreak/>
        <w:t xml:space="preserve">theless part of the charges to </w:t>
      </w:r>
      <w:r w:rsidR="00C8262C">
        <w:rPr>
          <w:sz w:val="24"/>
          <w:szCs w:val="24"/>
        </w:rPr>
        <w:t>CEHE</w:t>
      </w:r>
      <w:r w:rsidR="00213093">
        <w:rPr>
          <w:sz w:val="24"/>
          <w:szCs w:val="24"/>
        </w:rPr>
        <w:t xml:space="preserve">’s </w:t>
      </w:r>
      <w:r w:rsidR="00213093" w:rsidRPr="00213093">
        <w:rPr>
          <w:i/>
          <w:sz w:val="24"/>
          <w:szCs w:val="24"/>
        </w:rPr>
        <w:t>retail</w:t>
      </w:r>
      <w:r w:rsidR="00213093">
        <w:rPr>
          <w:sz w:val="24"/>
          <w:szCs w:val="24"/>
        </w:rPr>
        <w:t xml:space="preserve"> customers.  </w:t>
      </w:r>
      <w:r>
        <w:rPr>
          <w:sz w:val="24"/>
          <w:szCs w:val="24"/>
        </w:rPr>
        <w:t xml:space="preserve">Nonetheless, </w:t>
      </w:r>
      <w:r w:rsidR="00C8262C">
        <w:rPr>
          <w:sz w:val="24"/>
          <w:szCs w:val="24"/>
        </w:rPr>
        <w:t>CEHE</w:t>
      </w:r>
      <w:r>
        <w:rPr>
          <w:sz w:val="24"/>
          <w:szCs w:val="24"/>
        </w:rPr>
        <w:t xml:space="preserve"> proposes to charge </w:t>
      </w:r>
      <w:r w:rsidRPr="00213093">
        <w:rPr>
          <w:i/>
          <w:sz w:val="24"/>
          <w:szCs w:val="24"/>
        </w:rPr>
        <w:t>wholesale</w:t>
      </w:r>
      <w:r>
        <w:rPr>
          <w:sz w:val="24"/>
          <w:szCs w:val="24"/>
        </w:rPr>
        <w:t xml:space="preserve"> customers for the Texas Margins Tax associated with FERC </w:t>
      </w:r>
      <w:r w:rsidR="006D58B4">
        <w:rPr>
          <w:sz w:val="24"/>
          <w:szCs w:val="24"/>
        </w:rPr>
        <w:t>A</w:t>
      </w:r>
      <w:r>
        <w:rPr>
          <w:sz w:val="24"/>
          <w:szCs w:val="24"/>
        </w:rPr>
        <w:t>ccount 565.</w:t>
      </w:r>
      <w:r w:rsidR="00466D22">
        <w:rPr>
          <w:sz w:val="24"/>
          <w:szCs w:val="24"/>
        </w:rPr>
        <w:t xml:space="preserve">  </w:t>
      </w:r>
      <w:r w:rsidR="008523BA">
        <w:rPr>
          <w:sz w:val="24"/>
          <w:szCs w:val="24"/>
        </w:rPr>
        <w:t>T</w:t>
      </w:r>
      <w:r>
        <w:rPr>
          <w:sz w:val="24"/>
          <w:szCs w:val="24"/>
        </w:rPr>
        <w:t xml:space="preserve">he Company’s admission undermines </w:t>
      </w:r>
      <w:r w:rsidR="008523BA">
        <w:rPr>
          <w:sz w:val="24"/>
          <w:szCs w:val="24"/>
        </w:rPr>
        <w:t xml:space="preserve">its </w:t>
      </w:r>
      <w:r>
        <w:rPr>
          <w:sz w:val="24"/>
          <w:szCs w:val="24"/>
        </w:rPr>
        <w:t xml:space="preserve">proposal, </w:t>
      </w:r>
      <w:r w:rsidR="008523BA">
        <w:rPr>
          <w:sz w:val="24"/>
          <w:szCs w:val="24"/>
        </w:rPr>
        <w:t xml:space="preserve">but </w:t>
      </w:r>
      <w:r>
        <w:rPr>
          <w:sz w:val="24"/>
          <w:szCs w:val="24"/>
        </w:rPr>
        <w:t xml:space="preserve">the Company did not </w:t>
      </w:r>
      <w:r w:rsidR="008523BA">
        <w:rPr>
          <w:sz w:val="24"/>
          <w:szCs w:val="24"/>
        </w:rPr>
        <w:t xml:space="preserve">change its </w:t>
      </w:r>
      <w:r w:rsidR="00EE7C33">
        <w:rPr>
          <w:sz w:val="24"/>
          <w:szCs w:val="24"/>
        </w:rPr>
        <w:t>flawed</w:t>
      </w:r>
      <w:r w:rsidR="008523BA">
        <w:rPr>
          <w:sz w:val="24"/>
          <w:szCs w:val="24"/>
        </w:rPr>
        <w:t xml:space="preserve"> </w:t>
      </w:r>
      <w:r w:rsidR="00701BB5">
        <w:rPr>
          <w:sz w:val="24"/>
          <w:szCs w:val="24"/>
        </w:rPr>
        <w:t>approach</w:t>
      </w:r>
      <w:r w:rsidR="008523BA">
        <w:rPr>
          <w:sz w:val="24"/>
          <w:szCs w:val="24"/>
        </w:rPr>
        <w:t xml:space="preserve"> </w:t>
      </w:r>
      <w:r>
        <w:rPr>
          <w:sz w:val="24"/>
          <w:szCs w:val="24"/>
        </w:rPr>
        <w:t>in its errata filing.</w:t>
      </w:r>
    </w:p>
    <w:p w:rsidR="004A6B6A" w:rsidRDefault="004A6B6A" w:rsidP="004A6B6A">
      <w:pPr>
        <w:spacing w:line="480" w:lineRule="auto"/>
        <w:ind w:left="720" w:hanging="720"/>
        <w:jc w:val="both"/>
        <w:rPr>
          <w:b/>
          <w:sz w:val="24"/>
          <w:szCs w:val="24"/>
        </w:rPr>
      </w:pPr>
      <w:r w:rsidRPr="0040473F">
        <w:rPr>
          <w:b/>
          <w:sz w:val="24"/>
          <w:szCs w:val="24"/>
        </w:rPr>
        <w:t>Q.</w:t>
      </w:r>
      <w:r w:rsidRPr="0040473F">
        <w:rPr>
          <w:b/>
          <w:sz w:val="24"/>
          <w:szCs w:val="24"/>
        </w:rPr>
        <w:tab/>
      </w:r>
      <w:r w:rsidR="000920CF">
        <w:rPr>
          <w:b/>
          <w:sz w:val="24"/>
          <w:szCs w:val="24"/>
        </w:rPr>
        <w:t>The Company</w:t>
      </w:r>
      <w:r w:rsidRPr="0040473F">
        <w:rPr>
          <w:b/>
          <w:sz w:val="24"/>
          <w:szCs w:val="24"/>
        </w:rPr>
        <w:t xml:space="preserve"> states that it believes it is appropriate to functionalize the Texas Margin Tax to the transmission function to match the tax with the underlying associated revenue requirement in the cost of service.</w:t>
      </w:r>
      <w:r w:rsidRPr="0040473F">
        <w:rPr>
          <w:rStyle w:val="FootnoteReference"/>
          <w:b/>
          <w:sz w:val="24"/>
          <w:szCs w:val="24"/>
        </w:rPr>
        <w:footnoteReference w:id="49"/>
      </w:r>
      <w:r>
        <w:rPr>
          <w:b/>
          <w:sz w:val="24"/>
          <w:szCs w:val="24"/>
        </w:rPr>
        <w:t xml:space="preserve">  How do you respond?</w:t>
      </w:r>
    </w:p>
    <w:p w:rsidR="004A6B6A" w:rsidRPr="0040473F" w:rsidRDefault="004A6B6A" w:rsidP="004A6B6A">
      <w:pPr>
        <w:spacing w:line="480" w:lineRule="auto"/>
        <w:ind w:left="720" w:hanging="720"/>
        <w:jc w:val="both"/>
        <w:rPr>
          <w:sz w:val="24"/>
          <w:szCs w:val="24"/>
        </w:rPr>
      </w:pPr>
      <w:r w:rsidRPr="0040473F">
        <w:rPr>
          <w:sz w:val="24"/>
          <w:szCs w:val="24"/>
        </w:rPr>
        <w:t>A.</w:t>
      </w:r>
      <w:r w:rsidRPr="0040473F">
        <w:rPr>
          <w:sz w:val="24"/>
          <w:szCs w:val="24"/>
        </w:rPr>
        <w:tab/>
      </w:r>
      <w:r w:rsidR="00591150">
        <w:rPr>
          <w:sz w:val="24"/>
          <w:szCs w:val="24"/>
        </w:rPr>
        <w:t xml:space="preserve">To re-iterate, </w:t>
      </w:r>
      <w:r w:rsidR="00021036">
        <w:rPr>
          <w:sz w:val="24"/>
          <w:szCs w:val="24"/>
        </w:rPr>
        <w:t xml:space="preserve">as presented by the Company, </w:t>
      </w:r>
      <w:r w:rsidR="00591150">
        <w:rPr>
          <w:sz w:val="24"/>
          <w:szCs w:val="24"/>
        </w:rPr>
        <w:t xml:space="preserve">the transmission function’s revenue requirement is part of </w:t>
      </w:r>
      <w:r w:rsidR="000920CF">
        <w:rPr>
          <w:sz w:val="24"/>
          <w:szCs w:val="24"/>
        </w:rPr>
        <w:t>CEHE</w:t>
      </w:r>
      <w:r w:rsidR="00591150">
        <w:rPr>
          <w:sz w:val="24"/>
          <w:szCs w:val="24"/>
        </w:rPr>
        <w:t xml:space="preserve">’s retail delivery revenue requirement (i.e., </w:t>
      </w:r>
      <w:r w:rsidR="00605875">
        <w:rPr>
          <w:sz w:val="24"/>
          <w:szCs w:val="24"/>
        </w:rPr>
        <w:t xml:space="preserve">total </w:t>
      </w:r>
      <w:r w:rsidR="00591150">
        <w:rPr>
          <w:sz w:val="24"/>
          <w:szCs w:val="24"/>
        </w:rPr>
        <w:t>ERCOT transmission payments), not its wholesale revenue requirement.</w:t>
      </w:r>
    </w:p>
    <w:p w:rsidR="004A6B6A" w:rsidRPr="007248DD" w:rsidRDefault="004A6B6A" w:rsidP="004A6B6A">
      <w:pPr>
        <w:spacing w:line="480" w:lineRule="auto"/>
        <w:ind w:left="720" w:hanging="720"/>
        <w:jc w:val="both"/>
        <w:rPr>
          <w:b/>
          <w:sz w:val="24"/>
          <w:szCs w:val="24"/>
        </w:rPr>
      </w:pPr>
      <w:r w:rsidRPr="007248DD">
        <w:rPr>
          <w:b/>
          <w:sz w:val="24"/>
          <w:szCs w:val="24"/>
        </w:rPr>
        <w:t>Q.</w:t>
      </w:r>
      <w:r w:rsidRPr="007248DD">
        <w:rPr>
          <w:b/>
          <w:sz w:val="24"/>
          <w:szCs w:val="24"/>
        </w:rPr>
        <w:tab/>
      </w:r>
      <w:r w:rsidR="000920CF">
        <w:rPr>
          <w:b/>
          <w:sz w:val="24"/>
          <w:szCs w:val="24"/>
        </w:rPr>
        <w:t>The Company</w:t>
      </w:r>
      <w:r w:rsidRPr="007248DD">
        <w:rPr>
          <w:b/>
          <w:sz w:val="24"/>
          <w:szCs w:val="24"/>
        </w:rPr>
        <w:t xml:space="preserve"> states that its approach “is also consistent with the functionalization factor that was approved in Docket No. 38339.”</w:t>
      </w:r>
      <w:r>
        <w:rPr>
          <w:rStyle w:val="FootnoteReference"/>
          <w:b/>
          <w:sz w:val="24"/>
          <w:szCs w:val="24"/>
        </w:rPr>
        <w:footnoteReference w:id="50"/>
      </w:r>
      <w:r w:rsidRPr="007248DD">
        <w:rPr>
          <w:b/>
          <w:sz w:val="24"/>
          <w:szCs w:val="24"/>
        </w:rPr>
        <w:t xml:space="preserve">  How do you respond?</w:t>
      </w:r>
    </w:p>
    <w:p w:rsidR="004A6B6A" w:rsidRDefault="004A6B6A" w:rsidP="004A6B6A">
      <w:pPr>
        <w:spacing w:line="480" w:lineRule="auto"/>
        <w:ind w:left="720" w:hanging="720"/>
        <w:jc w:val="both"/>
        <w:rPr>
          <w:sz w:val="24"/>
          <w:szCs w:val="24"/>
        </w:rPr>
      </w:pPr>
      <w:r>
        <w:rPr>
          <w:sz w:val="24"/>
          <w:szCs w:val="24"/>
        </w:rPr>
        <w:t>A.</w:t>
      </w:r>
      <w:r>
        <w:rPr>
          <w:sz w:val="24"/>
          <w:szCs w:val="24"/>
        </w:rPr>
        <w:tab/>
        <w:t xml:space="preserve">The issue was not </w:t>
      </w:r>
      <w:r w:rsidR="00104413">
        <w:rPr>
          <w:sz w:val="24"/>
          <w:szCs w:val="24"/>
        </w:rPr>
        <w:t>contested in Docket No. 38339.</w:t>
      </w:r>
    </w:p>
    <w:p w:rsidR="004A6B6A" w:rsidRDefault="004A6B6A" w:rsidP="004A6B6A">
      <w:pPr>
        <w:spacing w:line="480" w:lineRule="auto"/>
        <w:jc w:val="both"/>
        <w:rPr>
          <w:b/>
          <w:sz w:val="24"/>
          <w:szCs w:val="24"/>
        </w:rPr>
      </w:pPr>
      <w:r w:rsidRPr="00DD480B">
        <w:rPr>
          <w:b/>
          <w:sz w:val="24"/>
          <w:szCs w:val="24"/>
        </w:rPr>
        <w:t>Q.</w:t>
      </w:r>
      <w:r w:rsidRPr="00DD480B">
        <w:rPr>
          <w:b/>
          <w:sz w:val="24"/>
          <w:szCs w:val="24"/>
        </w:rPr>
        <w:tab/>
      </w:r>
      <w:r>
        <w:rPr>
          <w:b/>
          <w:sz w:val="24"/>
          <w:szCs w:val="24"/>
        </w:rPr>
        <w:t>What do you recommend?</w:t>
      </w:r>
    </w:p>
    <w:p w:rsidR="00043A95" w:rsidRDefault="004A6B6A" w:rsidP="004A6B6A">
      <w:pPr>
        <w:spacing w:line="480" w:lineRule="auto"/>
        <w:ind w:left="720" w:hanging="720"/>
        <w:jc w:val="both"/>
        <w:rPr>
          <w:sz w:val="24"/>
          <w:szCs w:val="24"/>
        </w:rPr>
      </w:pPr>
      <w:r w:rsidRPr="00DD480B">
        <w:rPr>
          <w:sz w:val="24"/>
          <w:szCs w:val="24"/>
        </w:rPr>
        <w:t>A.</w:t>
      </w:r>
      <w:r w:rsidRPr="00DD480B">
        <w:rPr>
          <w:sz w:val="24"/>
          <w:szCs w:val="24"/>
        </w:rPr>
        <w:tab/>
      </w:r>
      <w:r>
        <w:rPr>
          <w:sz w:val="24"/>
          <w:szCs w:val="24"/>
        </w:rPr>
        <w:t xml:space="preserve">Consistent with cost causation, </w:t>
      </w:r>
      <w:r w:rsidR="000964EE">
        <w:rPr>
          <w:sz w:val="24"/>
          <w:szCs w:val="24"/>
        </w:rPr>
        <w:t xml:space="preserve">the rate design rule, and the requirement that rates be just and reasonable, </w:t>
      </w:r>
      <w:r>
        <w:rPr>
          <w:sz w:val="24"/>
          <w:szCs w:val="24"/>
        </w:rPr>
        <w:t xml:space="preserve">I recommend that </w:t>
      </w:r>
      <w:r>
        <w:rPr>
          <w:sz w:val="24"/>
          <w:szCs w:val="24"/>
        </w:rPr>
        <w:lastRenderedPageBreak/>
        <w:t xml:space="preserve">Texas Margins Taxes be </w:t>
      </w:r>
      <w:r w:rsidR="00093EA7">
        <w:rPr>
          <w:sz w:val="24"/>
          <w:szCs w:val="24"/>
        </w:rPr>
        <w:t xml:space="preserve">functionalized </w:t>
      </w:r>
      <w:r>
        <w:rPr>
          <w:sz w:val="24"/>
          <w:szCs w:val="24"/>
        </w:rPr>
        <w:t>in pro</w:t>
      </w:r>
      <w:r w:rsidR="00043A95">
        <w:rPr>
          <w:sz w:val="24"/>
          <w:szCs w:val="24"/>
        </w:rPr>
        <w:t xml:space="preserve">portion to </w:t>
      </w:r>
      <w:r w:rsidR="007B7163">
        <w:rPr>
          <w:sz w:val="24"/>
          <w:szCs w:val="24"/>
        </w:rPr>
        <w:t xml:space="preserve">base </w:t>
      </w:r>
      <w:r w:rsidR="00043A95">
        <w:rPr>
          <w:sz w:val="24"/>
          <w:szCs w:val="24"/>
        </w:rPr>
        <w:t>revenue</w:t>
      </w:r>
      <w:r w:rsidR="008E0584">
        <w:rPr>
          <w:sz w:val="24"/>
          <w:szCs w:val="24"/>
        </w:rPr>
        <w:t>s</w:t>
      </w:r>
      <w:r w:rsidR="00093EA7">
        <w:rPr>
          <w:sz w:val="24"/>
          <w:szCs w:val="24"/>
        </w:rPr>
        <w:t>, as follows:</w:t>
      </w:r>
    </w:p>
    <w:p w:rsidR="00093EA7" w:rsidRDefault="00093EA7" w:rsidP="001236C4">
      <w:pPr>
        <w:ind w:firstLine="720"/>
        <w:rPr>
          <w:sz w:val="24"/>
          <w:szCs w:val="24"/>
        </w:rPr>
      </w:pPr>
      <w:r w:rsidRPr="00F944AE">
        <w:rPr>
          <w:sz w:val="24"/>
          <w:szCs w:val="24"/>
        </w:rPr>
        <w:t xml:space="preserve">Table </w:t>
      </w:r>
      <w:r w:rsidR="00F944AE" w:rsidRPr="00F944AE">
        <w:rPr>
          <w:sz w:val="24"/>
          <w:szCs w:val="24"/>
        </w:rPr>
        <w:t>BTM-2</w:t>
      </w:r>
      <w:r w:rsidR="00F944AE" w:rsidRPr="00F944AE">
        <w:rPr>
          <w:sz w:val="24"/>
          <w:szCs w:val="24"/>
        </w:rPr>
        <w:tab/>
      </w:r>
      <w:r w:rsidR="00F944AE" w:rsidRPr="00F944AE">
        <w:rPr>
          <w:sz w:val="24"/>
          <w:szCs w:val="24"/>
        </w:rPr>
        <w:tab/>
        <w:t>Wholesale-Retail Split of Texas Margins Tax</w:t>
      </w:r>
    </w:p>
    <w:p w:rsidR="00605815" w:rsidRDefault="00605815" w:rsidP="00605815">
      <w:pPr>
        <w:ind w:left="720"/>
        <w:rPr>
          <w:sz w:val="24"/>
          <w:szCs w:val="24"/>
        </w:rPr>
      </w:pPr>
    </w:p>
    <w:tbl>
      <w:tblPr>
        <w:tblStyle w:val="TableGrid"/>
        <w:tblW w:w="0" w:type="auto"/>
        <w:tblInd w:w="775" w:type="dxa"/>
        <w:tblLook w:val="04A0" w:firstRow="1" w:lastRow="0" w:firstColumn="1" w:lastColumn="0" w:noHBand="0" w:noVBand="1"/>
      </w:tblPr>
      <w:tblGrid>
        <w:gridCol w:w="1514"/>
        <w:gridCol w:w="1882"/>
        <w:gridCol w:w="1260"/>
      </w:tblGrid>
      <w:tr w:rsidR="001236C4" w:rsidTr="001236C4">
        <w:tc>
          <w:tcPr>
            <w:tcW w:w="1514" w:type="dxa"/>
          </w:tcPr>
          <w:p w:rsidR="001236C4" w:rsidRDefault="001236C4" w:rsidP="00605815">
            <w:pPr>
              <w:rPr>
                <w:sz w:val="24"/>
                <w:szCs w:val="24"/>
              </w:rPr>
            </w:pPr>
          </w:p>
        </w:tc>
        <w:tc>
          <w:tcPr>
            <w:tcW w:w="1882" w:type="dxa"/>
            <w:vAlign w:val="bottom"/>
          </w:tcPr>
          <w:p w:rsidR="001236C4" w:rsidRDefault="001236C4" w:rsidP="0017523F">
            <w:pPr>
              <w:jc w:val="center"/>
              <w:rPr>
                <w:sz w:val="24"/>
                <w:szCs w:val="24"/>
              </w:rPr>
            </w:pPr>
            <w:r>
              <w:rPr>
                <w:sz w:val="24"/>
                <w:szCs w:val="24"/>
              </w:rPr>
              <w:t xml:space="preserve">Staff-adjusted </w:t>
            </w:r>
            <w:r w:rsidR="007B7163">
              <w:rPr>
                <w:sz w:val="24"/>
                <w:szCs w:val="24"/>
              </w:rPr>
              <w:t xml:space="preserve">Base </w:t>
            </w:r>
            <w:r>
              <w:rPr>
                <w:sz w:val="24"/>
                <w:szCs w:val="24"/>
              </w:rPr>
              <w:t>Revenues</w:t>
            </w:r>
            <w:r>
              <w:rPr>
                <w:rStyle w:val="FootnoteReference"/>
                <w:sz w:val="24"/>
                <w:szCs w:val="24"/>
              </w:rPr>
              <w:footnoteReference w:id="51"/>
            </w:r>
          </w:p>
        </w:tc>
        <w:tc>
          <w:tcPr>
            <w:tcW w:w="1260" w:type="dxa"/>
            <w:vAlign w:val="bottom"/>
          </w:tcPr>
          <w:p w:rsidR="001236C4" w:rsidRDefault="001236C4" w:rsidP="0017523F">
            <w:pPr>
              <w:jc w:val="center"/>
              <w:rPr>
                <w:sz w:val="24"/>
                <w:szCs w:val="24"/>
              </w:rPr>
            </w:pPr>
            <w:r>
              <w:rPr>
                <w:sz w:val="24"/>
                <w:szCs w:val="24"/>
              </w:rPr>
              <w:t>Allocation Proportion</w:t>
            </w:r>
          </w:p>
        </w:tc>
      </w:tr>
      <w:tr w:rsidR="001236C4" w:rsidTr="001236C4">
        <w:tc>
          <w:tcPr>
            <w:tcW w:w="1514" w:type="dxa"/>
          </w:tcPr>
          <w:p w:rsidR="001236C4" w:rsidRDefault="001236C4" w:rsidP="00605815">
            <w:pPr>
              <w:rPr>
                <w:sz w:val="24"/>
                <w:szCs w:val="24"/>
              </w:rPr>
            </w:pPr>
          </w:p>
        </w:tc>
        <w:tc>
          <w:tcPr>
            <w:tcW w:w="1882" w:type="dxa"/>
          </w:tcPr>
          <w:p w:rsidR="001236C4" w:rsidRDefault="001236C4" w:rsidP="00E63DAA">
            <w:pPr>
              <w:jc w:val="center"/>
              <w:rPr>
                <w:sz w:val="24"/>
                <w:szCs w:val="24"/>
              </w:rPr>
            </w:pPr>
            <w:r>
              <w:rPr>
                <w:sz w:val="24"/>
                <w:szCs w:val="24"/>
              </w:rPr>
              <w:t>a</w:t>
            </w:r>
          </w:p>
        </w:tc>
        <w:tc>
          <w:tcPr>
            <w:tcW w:w="1260" w:type="dxa"/>
          </w:tcPr>
          <w:p w:rsidR="001236C4" w:rsidRDefault="001236C4" w:rsidP="00E63DAA">
            <w:pPr>
              <w:jc w:val="center"/>
              <w:rPr>
                <w:sz w:val="24"/>
                <w:szCs w:val="24"/>
              </w:rPr>
            </w:pPr>
            <w:r>
              <w:rPr>
                <w:sz w:val="24"/>
                <w:szCs w:val="24"/>
              </w:rPr>
              <w:t xml:space="preserve">b = a / </w:t>
            </w:r>
            <w:r>
              <w:rPr>
                <w:rFonts w:ascii="Gulim" w:eastAsia="Gulim" w:hAnsi="Gulim" w:hint="eastAsia"/>
                <w:sz w:val="24"/>
                <w:szCs w:val="24"/>
              </w:rPr>
              <w:t>∑</w:t>
            </w:r>
            <w:r>
              <w:rPr>
                <w:sz w:val="24"/>
                <w:szCs w:val="24"/>
              </w:rPr>
              <w:t>a</w:t>
            </w:r>
          </w:p>
        </w:tc>
      </w:tr>
      <w:tr w:rsidR="001236C4" w:rsidTr="001236C4">
        <w:tc>
          <w:tcPr>
            <w:tcW w:w="1514" w:type="dxa"/>
          </w:tcPr>
          <w:p w:rsidR="001236C4" w:rsidRDefault="001236C4" w:rsidP="00605815">
            <w:pPr>
              <w:rPr>
                <w:sz w:val="24"/>
                <w:szCs w:val="24"/>
              </w:rPr>
            </w:pPr>
            <w:r>
              <w:rPr>
                <w:sz w:val="24"/>
                <w:szCs w:val="24"/>
              </w:rPr>
              <w:t>Wholesale</w:t>
            </w:r>
          </w:p>
        </w:tc>
        <w:tc>
          <w:tcPr>
            <w:tcW w:w="1882" w:type="dxa"/>
          </w:tcPr>
          <w:p w:rsidR="001236C4" w:rsidRDefault="002E5325" w:rsidP="00A92043">
            <w:pPr>
              <w:jc w:val="right"/>
              <w:rPr>
                <w:sz w:val="24"/>
                <w:szCs w:val="24"/>
              </w:rPr>
            </w:pPr>
            <w:r>
              <w:rPr>
                <w:sz w:val="24"/>
                <w:szCs w:val="24"/>
              </w:rPr>
              <w:t>336,923,105</w:t>
            </w:r>
            <w:r w:rsidR="001236C4">
              <w:rPr>
                <w:rStyle w:val="FootnoteReference"/>
                <w:sz w:val="24"/>
                <w:szCs w:val="24"/>
              </w:rPr>
              <w:footnoteReference w:id="52"/>
            </w:r>
          </w:p>
        </w:tc>
        <w:tc>
          <w:tcPr>
            <w:tcW w:w="1260" w:type="dxa"/>
          </w:tcPr>
          <w:p w:rsidR="001236C4" w:rsidRDefault="00C37877" w:rsidP="0017523F">
            <w:pPr>
              <w:jc w:val="right"/>
              <w:rPr>
                <w:sz w:val="24"/>
                <w:szCs w:val="24"/>
              </w:rPr>
            </w:pPr>
            <w:r>
              <w:rPr>
                <w:sz w:val="24"/>
                <w:szCs w:val="24"/>
              </w:rPr>
              <w:t>13.3</w:t>
            </w:r>
            <w:r w:rsidR="001236C4">
              <w:rPr>
                <w:sz w:val="24"/>
                <w:szCs w:val="24"/>
              </w:rPr>
              <w:t>%</w:t>
            </w:r>
          </w:p>
        </w:tc>
      </w:tr>
      <w:tr w:rsidR="001236C4" w:rsidTr="001236C4">
        <w:tc>
          <w:tcPr>
            <w:tcW w:w="1514" w:type="dxa"/>
          </w:tcPr>
          <w:p w:rsidR="001236C4" w:rsidRDefault="001236C4" w:rsidP="00605815">
            <w:pPr>
              <w:rPr>
                <w:sz w:val="24"/>
                <w:szCs w:val="24"/>
              </w:rPr>
            </w:pPr>
            <w:r>
              <w:rPr>
                <w:sz w:val="24"/>
                <w:szCs w:val="24"/>
              </w:rPr>
              <w:t>Retail</w:t>
            </w:r>
          </w:p>
        </w:tc>
        <w:tc>
          <w:tcPr>
            <w:tcW w:w="1882" w:type="dxa"/>
          </w:tcPr>
          <w:p w:rsidR="001236C4" w:rsidRDefault="002E5325" w:rsidP="0046105B">
            <w:pPr>
              <w:jc w:val="right"/>
              <w:rPr>
                <w:sz w:val="24"/>
                <w:szCs w:val="24"/>
              </w:rPr>
            </w:pPr>
            <w:r>
              <w:rPr>
                <w:sz w:val="24"/>
                <w:szCs w:val="24"/>
              </w:rPr>
              <w:t>2,18</w:t>
            </w:r>
            <w:r w:rsidR="0046105B">
              <w:rPr>
                <w:sz w:val="24"/>
                <w:szCs w:val="24"/>
              </w:rPr>
              <w:t>5</w:t>
            </w:r>
            <w:r>
              <w:rPr>
                <w:sz w:val="24"/>
                <w:szCs w:val="24"/>
              </w:rPr>
              <w:t>,</w:t>
            </w:r>
            <w:r w:rsidR="0046105B">
              <w:rPr>
                <w:sz w:val="24"/>
                <w:szCs w:val="24"/>
              </w:rPr>
              <w:t>111</w:t>
            </w:r>
            <w:r>
              <w:rPr>
                <w:sz w:val="24"/>
                <w:szCs w:val="24"/>
              </w:rPr>
              <w:t>,</w:t>
            </w:r>
            <w:r w:rsidR="0046105B">
              <w:rPr>
                <w:sz w:val="24"/>
                <w:szCs w:val="24"/>
              </w:rPr>
              <w:t>259</w:t>
            </w:r>
            <w:r w:rsidR="001236C4">
              <w:rPr>
                <w:rStyle w:val="FootnoteReference"/>
                <w:sz w:val="24"/>
                <w:szCs w:val="24"/>
              </w:rPr>
              <w:footnoteReference w:id="53"/>
            </w:r>
          </w:p>
        </w:tc>
        <w:tc>
          <w:tcPr>
            <w:tcW w:w="1260" w:type="dxa"/>
          </w:tcPr>
          <w:p w:rsidR="001236C4" w:rsidRDefault="00C37877" w:rsidP="001236C4">
            <w:pPr>
              <w:jc w:val="right"/>
              <w:rPr>
                <w:sz w:val="24"/>
                <w:szCs w:val="24"/>
              </w:rPr>
            </w:pPr>
            <w:r>
              <w:rPr>
                <w:sz w:val="24"/>
                <w:szCs w:val="24"/>
              </w:rPr>
              <w:t>86.7</w:t>
            </w:r>
            <w:r w:rsidR="001236C4">
              <w:rPr>
                <w:sz w:val="24"/>
                <w:szCs w:val="24"/>
              </w:rPr>
              <w:t>%</w:t>
            </w:r>
          </w:p>
        </w:tc>
      </w:tr>
      <w:tr w:rsidR="001236C4" w:rsidTr="001236C4">
        <w:tc>
          <w:tcPr>
            <w:tcW w:w="1514" w:type="dxa"/>
          </w:tcPr>
          <w:p w:rsidR="001236C4" w:rsidRDefault="001236C4" w:rsidP="00605815">
            <w:pPr>
              <w:rPr>
                <w:sz w:val="24"/>
                <w:szCs w:val="24"/>
              </w:rPr>
            </w:pPr>
            <w:r>
              <w:rPr>
                <w:sz w:val="24"/>
                <w:szCs w:val="24"/>
              </w:rPr>
              <w:t>Total</w:t>
            </w:r>
          </w:p>
        </w:tc>
        <w:tc>
          <w:tcPr>
            <w:tcW w:w="1882" w:type="dxa"/>
          </w:tcPr>
          <w:p w:rsidR="001236C4" w:rsidRDefault="001236C4" w:rsidP="0046105B">
            <w:pPr>
              <w:jc w:val="right"/>
              <w:rPr>
                <w:sz w:val="24"/>
                <w:szCs w:val="24"/>
              </w:rPr>
            </w:pPr>
            <w:r w:rsidRPr="00A95382">
              <w:rPr>
                <w:sz w:val="24"/>
                <w:szCs w:val="24"/>
              </w:rPr>
              <w:t>2,</w:t>
            </w:r>
            <w:r w:rsidR="00A95382" w:rsidRPr="00A95382">
              <w:rPr>
                <w:sz w:val="24"/>
                <w:szCs w:val="24"/>
              </w:rPr>
              <w:t>5</w:t>
            </w:r>
            <w:r w:rsidR="00A92043">
              <w:rPr>
                <w:sz w:val="24"/>
                <w:szCs w:val="24"/>
              </w:rPr>
              <w:t>22,</w:t>
            </w:r>
            <w:r w:rsidR="0046105B">
              <w:rPr>
                <w:sz w:val="24"/>
                <w:szCs w:val="24"/>
              </w:rPr>
              <w:t>034,365</w:t>
            </w:r>
          </w:p>
        </w:tc>
        <w:tc>
          <w:tcPr>
            <w:tcW w:w="1260" w:type="dxa"/>
          </w:tcPr>
          <w:p w:rsidR="001236C4" w:rsidRDefault="001236C4" w:rsidP="0017523F">
            <w:pPr>
              <w:jc w:val="right"/>
              <w:rPr>
                <w:sz w:val="24"/>
                <w:szCs w:val="24"/>
              </w:rPr>
            </w:pPr>
            <w:r>
              <w:rPr>
                <w:sz w:val="24"/>
                <w:szCs w:val="24"/>
              </w:rPr>
              <w:t>100.0%</w:t>
            </w:r>
          </w:p>
        </w:tc>
      </w:tr>
    </w:tbl>
    <w:p w:rsidR="008E0584" w:rsidRDefault="008E0584" w:rsidP="00C02D71">
      <w:pPr>
        <w:suppressLineNumbers/>
        <w:ind w:left="720" w:hanging="720"/>
        <w:jc w:val="both"/>
        <w:rPr>
          <w:sz w:val="24"/>
          <w:szCs w:val="24"/>
        </w:rPr>
      </w:pPr>
    </w:p>
    <w:p w:rsidR="004A6B6A" w:rsidRPr="006C36E0" w:rsidRDefault="004A6B6A" w:rsidP="004A6B6A">
      <w:pPr>
        <w:spacing w:line="480" w:lineRule="auto"/>
        <w:ind w:left="720" w:hanging="720"/>
        <w:jc w:val="both"/>
        <w:rPr>
          <w:b/>
          <w:sz w:val="24"/>
          <w:szCs w:val="24"/>
        </w:rPr>
      </w:pPr>
      <w:r w:rsidRPr="006C36E0">
        <w:rPr>
          <w:b/>
          <w:sz w:val="24"/>
          <w:szCs w:val="24"/>
        </w:rPr>
        <w:t>Q.</w:t>
      </w:r>
      <w:r w:rsidRPr="006C36E0">
        <w:rPr>
          <w:b/>
          <w:sz w:val="24"/>
          <w:szCs w:val="24"/>
        </w:rPr>
        <w:tab/>
        <w:t>Which accounts contain amounts associated with Texas Margins Tax?</w:t>
      </w:r>
    </w:p>
    <w:p w:rsidR="004A6B6A" w:rsidRDefault="004A6B6A" w:rsidP="004A6B6A">
      <w:pPr>
        <w:spacing w:line="480" w:lineRule="auto"/>
        <w:ind w:left="720" w:hanging="720"/>
        <w:jc w:val="both"/>
        <w:rPr>
          <w:sz w:val="24"/>
          <w:szCs w:val="24"/>
        </w:rPr>
      </w:pPr>
      <w:r>
        <w:rPr>
          <w:sz w:val="24"/>
          <w:szCs w:val="24"/>
        </w:rPr>
        <w:t>A.</w:t>
      </w:r>
      <w:r>
        <w:rPr>
          <w:sz w:val="24"/>
          <w:szCs w:val="24"/>
        </w:rPr>
        <w:tab/>
      </w:r>
      <w:r w:rsidR="00A950FD">
        <w:rPr>
          <w:sz w:val="24"/>
          <w:szCs w:val="24"/>
        </w:rPr>
        <w:t>The following</w:t>
      </w:r>
      <w:r>
        <w:rPr>
          <w:sz w:val="24"/>
          <w:szCs w:val="24"/>
        </w:rPr>
        <w:t xml:space="preserve"> three</w:t>
      </w:r>
      <w:r w:rsidR="00A950FD">
        <w:rPr>
          <w:sz w:val="24"/>
          <w:szCs w:val="24"/>
        </w:rPr>
        <w:t xml:space="preserve"> accounts</w:t>
      </w:r>
      <w:r>
        <w:rPr>
          <w:sz w:val="24"/>
          <w:szCs w:val="24"/>
        </w:rPr>
        <w:t>:</w:t>
      </w:r>
    </w:p>
    <w:p w:rsidR="004A6B6A" w:rsidRPr="00B73CE3" w:rsidRDefault="00401AD9" w:rsidP="001A6CB9">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A</w:t>
      </w:r>
      <w:r w:rsidR="004A6B6A" w:rsidRPr="00B73CE3">
        <w:rPr>
          <w:rFonts w:ascii="Times New Roman" w:hAnsi="Times New Roman"/>
          <w:sz w:val="24"/>
          <w:szCs w:val="24"/>
        </w:rPr>
        <w:t>ccount 182.3</w:t>
      </w:r>
      <w:r w:rsidR="004A6B6A">
        <w:rPr>
          <w:rFonts w:ascii="Times New Roman" w:hAnsi="Times New Roman"/>
          <w:sz w:val="24"/>
          <w:szCs w:val="24"/>
        </w:rPr>
        <w:t>, Regulatory A</w:t>
      </w:r>
      <w:r w:rsidR="004A6B6A" w:rsidRPr="00B73CE3">
        <w:rPr>
          <w:rFonts w:ascii="Times New Roman" w:hAnsi="Times New Roman"/>
          <w:sz w:val="24"/>
          <w:szCs w:val="24"/>
        </w:rPr>
        <w:t>ssets-</w:t>
      </w:r>
      <w:r w:rsidR="004A6B6A">
        <w:rPr>
          <w:rFonts w:ascii="Times New Roman" w:hAnsi="Times New Roman"/>
          <w:sz w:val="24"/>
          <w:szCs w:val="24"/>
        </w:rPr>
        <w:t>M</w:t>
      </w:r>
      <w:r w:rsidR="004A6B6A" w:rsidRPr="00B73CE3">
        <w:rPr>
          <w:rFonts w:ascii="Times New Roman" w:hAnsi="Times New Roman"/>
          <w:sz w:val="24"/>
          <w:szCs w:val="24"/>
        </w:rPr>
        <w:t>argin</w:t>
      </w:r>
      <w:r w:rsidR="004A6B6A">
        <w:rPr>
          <w:rFonts w:ascii="Times New Roman" w:hAnsi="Times New Roman"/>
          <w:sz w:val="24"/>
          <w:szCs w:val="24"/>
        </w:rPr>
        <w:t xml:space="preserve"> T</w:t>
      </w:r>
      <w:r w:rsidR="004A6B6A" w:rsidRPr="00B73CE3">
        <w:rPr>
          <w:rFonts w:ascii="Times New Roman" w:hAnsi="Times New Roman"/>
          <w:sz w:val="24"/>
          <w:szCs w:val="24"/>
        </w:rPr>
        <w:t xml:space="preserve">ax (rate base); </w:t>
      </w:r>
    </w:p>
    <w:p w:rsidR="004A6B6A" w:rsidRPr="00B73CE3" w:rsidRDefault="00401AD9" w:rsidP="001A6CB9">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A</w:t>
      </w:r>
      <w:r w:rsidR="004A6B6A" w:rsidRPr="00B73CE3">
        <w:rPr>
          <w:rFonts w:ascii="Times New Roman" w:hAnsi="Times New Roman"/>
          <w:sz w:val="24"/>
          <w:szCs w:val="24"/>
        </w:rPr>
        <w:t xml:space="preserve">ccount 407.3, </w:t>
      </w:r>
      <w:r w:rsidR="004A6B6A">
        <w:rPr>
          <w:rFonts w:ascii="Times New Roman" w:hAnsi="Times New Roman"/>
          <w:sz w:val="24"/>
          <w:szCs w:val="24"/>
        </w:rPr>
        <w:t>Texas Margin T</w:t>
      </w:r>
      <w:r w:rsidR="004A6B6A" w:rsidRPr="00B73CE3">
        <w:rPr>
          <w:rFonts w:ascii="Times New Roman" w:hAnsi="Times New Roman"/>
          <w:sz w:val="24"/>
          <w:szCs w:val="24"/>
        </w:rPr>
        <w:t xml:space="preserve">ax - Docket No. 38339 (amortization expense); and, </w:t>
      </w:r>
    </w:p>
    <w:p w:rsidR="004A6B6A" w:rsidRDefault="00401AD9" w:rsidP="001A6CB9">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A</w:t>
      </w:r>
      <w:r w:rsidR="004A6B6A" w:rsidRPr="00B73CE3">
        <w:rPr>
          <w:rFonts w:ascii="Times New Roman" w:hAnsi="Times New Roman"/>
          <w:sz w:val="24"/>
          <w:szCs w:val="24"/>
        </w:rPr>
        <w:t>ccount 408.1</w:t>
      </w:r>
      <w:r w:rsidR="004A6B6A">
        <w:rPr>
          <w:rFonts w:ascii="Times New Roman" w:hAnsi="Times New Roman"/>
          <w:sz w:val="24"/>
          <w:szCs w:val="24"/>
        </w:rPr>
        <w:t>, Texas Gross Margin T</w:t>
      </w:r>
      <w:r w:rsidR="004A6B6A" w:rsidRPr="00B73CE3">
        <w:rPr>
          <w:rFonts w:ascii="Times New Roman" w:hAnsi="Times New Roman"/>
          <w:sz w:val="24"/>
          <w:szCs w:val="24"/>
        </w:rPr>
        <w:t>ax (tax expense).</w:t>
      </w:r>
    </w:p>
    <w:p w:rsidR="001A6CB9" w:rsidRPr="00B73CE3" w:rsidRDefault="001A6CB9" w:rsidP="001A6CB9">
      <w:pPr>
        <w:pStyle w:val="ListParagraph"/>
        <w:spacing w:after="0" w:line="240" w:lineRule="auto"/>
        <w:ind w:left="1440"/>
        <w:jc w:val="both"/>
        <w:rPr>
          <w:rFonts w:ascii="Times New Roman" w:hAnsi="Times New Roman"/>
          <w:sz w:val="24"/>
          <w:szCs w:val="24"/>
        </w:rPr>
      </w:pPr>
    </w:p>
    <w:p w:rsidR="004A6B6A" w:rsidRPr="00FB3C0B" w:rsidRDefault="004A6B6A" w:rsidP="004A6B6A">
      <w:pPr>
        <w:spacing w:line="480" w:lineRule="auto"/>
        <w:ind w:left="720" w:hanging="720"/>
        <w:jc w:val="both"/>
        <w:rPr>
          <w:b/>
          <w:sz w:val="24"/>
          <w:szCs w:val="24"/>
        </w:rPr>
      </w:pPr>
      <w:r w:rsidRPr="00FB3C0B">
        <w:rPr>
          <w:b/>
          <w:sz w:val="24"/>
          <w:szCs w:val="24"/>
        </w:rPr>
        <w:t>Q.</w:t>
      </w:r>
      <w:r w:rsidRPr="00FB3C0B">
        <w:rPr>
          <w:b/>
          <w:sz w:val="24"/>
          <w:szCs w:val="24"/>
        </w:rPr>
        <w:tab/>
        <w:t>How do you recommend that your adjustment be implemented</w:t>
      </w:r>
      <w:r w:rsidR="00E63DAA">
        <w:rPr>
          <w:b/>
          <w:sz w:val="24"/>
          <w:szCs w:val="24"/>
        </w:rPr>
        <w:t xml:space="preserve"> in the cost study</w:t>
      </w:r>
      <w:r w:rsidRPr="00FB3C0B">
        <w:rPr>
          <w:b/>
          <w:sz w:val="24"/>
          <w:szCs w:val="24"/>
        </w:rPr>
        <w:t>?</w:t>
      </w:r>
    </w:p>
    <w:p w:rsidR="00C01AA3" w:rsidRDefault="009C72BF" w:rsidP="00232DB2">
      <w:pPr>
        <w:spacing w:line="480" w:lineRule="auto"/>
        <w:ind w:left="720" w:hanging="720"/>
        <w:jc w:val="both"/>
        <w:rPr>
          <w:sz w:val="24"/>
          <w:szCs w:val="24"/>
        </w:rPr>
      </w:pPr>
      <w:r>
        <w:rPr>
          <w:sz w:val="24"/>
          <w:szCs w:val="24"/>
        </w:rPr>
        <w:t>A.</w:t>
      </w:r>
      <w:r>
        <w:rPr>
          <w:sz w:val="24"/>
          <w:szCs w:val="24"/>
        </w:rPr>
        <w:tab/>
        <w:t xml:space="preserve">I recommend that the </w:t>
      </w:r>
      <w:r w:rsidR="00C01AA3">
        <w:rPr>
          <w:sz w:val="24"/>
          <w:szCs w:val="24"/>
        </w:rPr>
        <w:t>functionalization</w:t>
      </w:r>
      <w:r w:rsidR="00232DB2">
        <w:rPr>
          <w:sz w:val="24"/>
          <w:szCs w:val="24"/>
        </w:rPr>
        <w:t xml:space="preserve"> data that is used to calculate</w:t>
      </w:r>
      <w:r w:rsidR="00C01AA3">
        <w:rPr>
          <w:sz w:val="24"/>
          <w:szCs w:val="24"/>
        </w:rPr>
        <w:t xml:space="preserve"> the TOTREV functionalization proportions </w:t>
      </w:r>
      <w:r w:rsidR="00232DB2">
        <w:rPr>
          <w:sz w:val="24"/>
          <w:szCs w:val="24"/>
        </w:rPr>
        <w:t xml:space="preserve">be </w:t>
      </w:r>
      <w:r w:rsidR="00101469">
        <w:rPr>
          <w:sz w:val="24"/>
          <w:szCs w:val="24"/>
        </w:rPr>
        <w:t>adjusted</w:t>
      </w:r>
      <w:r w:rsidR="00232DB2">
        <w:rPr>
          <w:sz w:val="24"/>
          <w:szCs w:val="24"/>
        </w:rPr>
        <w:t xml:space="preserve">.  </w:t>
      </w:r>
      <w:r w:rsidR="00874329">
        <w:rPr>
          <w:sz w:val="24"/>
          <w:szCs w:val="24"/>
        </w:rPr>
        <w:t xml:space="preserve">To cure the </w:t>
      </w:r>
      <w:r w:rsidR="004C63A6">
        <w:rPr>
          <w:sz w:val="24"/>
          <w:szCs w:val="24"/>
        </w:rPr>
        <w:t xml:space="preserve">Company’s </w:t>
      </w:r>
      <w:r w:rsidR="00874329">
        <w:rPr>
          <w:sz w:val="24"/>
          <w:szCs w:val="24"/>
        </w:rPr>
        <w:t>over-allocation of Texas Margins Tax</w:t>
      </w:r>
      <w:r w:rsidR="004C63A6">
        <w:rPr>
          <w:sz w:val="24"/>
          <w:szCs w:val="24"/>
        </w:rPr>
        <w:t>es</w:t>
      </w:r>
      <w:r w:rsidR="00874329">
        <w:rPr>
          <w:sz w:val="24"/>
          <w:szCs w:val="24"/>
        </w:rPr>
        <w:t xml:space="preserve"> to wholesale transmission, r</w:t>
      </w:r>
      <w:r w:rsidR="00C01AA3">
        <w:rPr>
          <w:sz w:val="24"/>
          <w:szCs w:val="24"/>
        </w:rPr>
        <w:t xml:space="preserve">etail delivery revenues associated with </w:t>
      </w:r>
      <w:r w:rsidR="00C01AA3">
        <w:rPr>
          <w:sz w:val="24"/>
          <w:szCs w:val="24"/>
        </w:rPr>
        <w:lastRenderedPageBreak/>
        <w:t xml:space="preserve">ERCOT transmission payments </w:t>
      </w:r>
      <w:r w:rsidR="00232DB2">
        <w:rPr>
          <w:sz w:val="24"/>
          <w:szCs w:val="24"/>
        </w:rPr>
        <w:t xml:space="preserve">are re-allocated </w:t>
      </w:r>
      <w:r w:rsidR="00C01AA3">
        <w:rPr>
          <w:sz w:val="24"/>
          <w:szCs w:val="24"/>
        </w:rPr>
        <w:t>among the distribution, metering, and customer service functions in proportion to functional cost of service</w:t>
      </w:r>
      <w:r w:rsidR="00AB7127">
        <w:rPr>
          <w:sz w:val="24"/>
          <w:szCs w:val="24"/>
        </w:rPr>
        <w:t xml:space="preserve"> </w:t>
      </w:r>
      <w:r w:rsidR="00232DB2">
        <w:rPr>
          <w:sz w:val="24"/>
          <w:szCs w:val="24"/>
        </w:rPr>
        <w:t>before the adjustment.</w:t>
      </w:r>
    </w:p>
    <w:p w:rsidR="004A6B6A" w:rsidRDefault="004A6B6A" w:rsidP="004A6B6A">
      <w:pPr>
        <w:spacing w:line="480" w:lineRule="auto"/>
        <w:jc w:val="both"/>
        <w:rPr>
          <w:b/>
          <w:sz w:val="24"/>
          <w:szCs w:val="24"/>
        </w:rPr>
      </w:pPr>
      <w:r w:rsidRPr="007C6274">
        <w:rPr>
          <w:b/>
          <w:sz w:val="24"/>
          <w:szCs w:val="24"/>
        </w:rPr>
        <w:t>Q.</w:t>
      </w:r>
      <w:r w:rsidRPr="007C6274">
        <w:rPr>
          <w:b/>
          <w:sz w:val="24"/>
          <w:szCs w:val="24"/>
        </w:rPr>
        <w:tab/>
      </w:r>
      <w:r>
        <w:rPr>
          <w:b/>
          <w:sz w:val="24"/>
          <w:szCs w:val="24"/>
        </w:rPr>
        <w:t>What is the dollar impact of your recommendation?</w:t>
      </w:r>
    </w:p>
    <w:p w:rsidR="0077707F" w:rsidRDefault="004A6B6A" w:rsidP="0077707F">
      <w:pPr>
        <w:spacing w:line="480" w:lineRule="auto"/>
        <w:ind w:left="720" w:hanging="720"/>
        <w:jc w:val="both"/>
        <w:rPr>
          <w:sz w:val="24"/>
          <w:szCs w:val="24"/>
        </w:rPr>
      </w:pPr>
      <w:r w:rsidRPr="002E3BEF">
        <w:rPr>
          <w:sz w:val="24"/>
          <w:szCs w:val="24"/>
        </w:rPr>
        <w:t>A.</w:t>
      </w:r>
      <w:r w:rsidRPr="002E3BEF">
        <w:rPr>
          <w:sz w:val="24"/>
          <w:szCs w:val="24"/>
        </w:rPr>
        <w:tab/>
      </w:r>
      <w:r w:rsidR="00A339B6">
        <w:rPr>
          <w:sz w:val="24"/>
          <w:szCs w:val="24"/>
        </w:rPr>
        <w:t>R</w:t>
      </w:r>
      <w:r w:rsidR="00C066FE">
        <w:rPr>
          <w:sz w:val="24"/>
          <w:szCs w:val="24"/>
        </w:rPr>
        <w:t xml:space="preserve">elative to </w:t>
      </w:r>
      <w:r w:rsidR="000920CF">
        <w:rPr>
          <w:sz w:val="24"/>
          <w:szCs w:val="24"/>
        </w:rPr>
        <w:t>CEHE</w:t>
      </w:r>
      <w:r w:rsidR="00C066FE">
        <w:rPr>
          <w:sz w:val="24"/>
          <w:szCs w:val="24"/>
        </w:rPr>
        <w:t>’s request</w:t>
      </w:r>
      <w:r w:rsidR="00A339B6">
        <w:rPr>
          <w:sz w:val="24"/>
          <w:szCs w:val="24"/>
        </w:rPr>
        <w:t>,</w:t>
      </w:r>
      <w:r w:rsidR="00C066FE">
        <w:rPr>
          <w:sz w:val="24"/>
          <w:szCs w:val="24"/>
        </w:rPr>
        <w:t xml:space="preserve"> </w:t>
      </w:r>
      <w:r w:rsidR="0077707F">
        <w:rPr>
          <w:sz w:val="24"/>
          <w:szCs w:val="24"/>
        </w:rPr>
        <w:t xml:space="preserve">there is a downward adjustment to </w:t>
      </w:r>
      <w:r w:rsidR="004C63A6">
        <w:rPr>
          <w:sz w:val="24"/>
          <w:szCs w:val="24"/>
        </w:rPr>
        <w:t>Texas Gross M</w:t>
      </w:r>
      <w:r w:rsidR="00A339B6">
        <w:rPr>
          <w:sz w:val="24"/>
          <w:szCs w:val="24"/>
        </w:rPr>
        <w:t xml:space="preserve">argins </w:t>
      </w:r>
      <w:r w:rsidR="004C63A6">
        <w:rPr>
          <w:sz w:val="24"/>
          <w:szCs w:val="24"/>
        </w:rPr>
        <w:t>T</w:t>
      </w:r>
      <w:r w:rsidR="0077707F">
        <w:rPr>
          <w:sz w:val="24"/>
          <w:szCs w:val="24"/>
        </w:rPr>
        <w:t xml:space="preserve">ax expense included in wholesale TCOS of </w:t>
      </w:r>
      <w:r w:rsidR="00C066FE" w:rsidRPr="00DE1B8E">
        <w:rPr>
          <w:sz w:val="24"/>
          <w:szCs w:val="24"/>
        </w:rPr>
        <w:t xml:space="preserve">approximately </w:t>
      </w:r>
      <w:r w:rsidR="0077707F" w:rsidRPr="00DE1B8E">
        <w:rPr>
          <w:sz w:val="24"/>
          <w:szCs w:val="24"/>
        </w:rPr>
        <w:t>$</w:t>
      </w:r>
      <w:r w:rsidR="00DE1B8E" w:rsidRPr="00DE1B8E">
        <w:rPr>
          <w:sz w:val="24"/>
          <w:szCs w:val="24"/>
        </w:rPr>
        <w:t>5.7</w:t>
      </w:r>
      <w:r w:rsidR="00C066FE" w:rsidRPr="00DE1B8E">
        <w:rPr>
          <w:sz w:val="24"/>
          <w:szCs w:val="24"/>
        </w:rPr>
        <w:t xml:space="preserve"> million</w:t>
      </w:r>
      <w:r w:rsidR="0077707F" w:rsidRPr="00DE1B8E">
        <w:rPr>
          <w:sz w:val="24"/>
          <w:szCs w:val="24"/>
        </w:rPr>
        <w:t>,</w:t>
      </w:r>
      <w:r w:rsidR="0077707F">
        <w:rPr>
          <w:sz w:val="24"/>
          <w:szCs w:val="24"/>
        </w:rPr>
        <w:t xml:space="preserve"> and </w:t>
      </w:r>
      <w:r w:rsidR="00C066FE">
        <w:rPr>
          <w:sz w:val="24"/>
          <w:szCs w:val="24"/>
        </w:rPr>
        <w:t>an</w:t>
      </w:r>
      <w:r w:rsidR="0077707F">
        <w:rPr>
          <w:sz w:val="24"/>
          <w:szCs w:val="24"/>
        </w:rPr>
        <w:t xml:space="preserve"> upward adjustment to tax expense included in retail delivery cost of service </w:t>
      </w:r>
      <w:r w:rsidR="00C066FE">
        <w:rPr>
          <w:sz w:val="24"/>
          <w:szCs w:val="24"/>
        </w:rPr>
        <w:t xml:space="preserve">of </w:t>
      </w:r>
      <w:r w:rsidR="00C066FE" w:rsidRPr="00DE1B8E">
        <w:rPr>
          <w:sz w:val="24"/>
          <w:szCs w:val="24"/>
        </w:rPr>
        <w:t xml:space="preserve">approximately </w:t>
      </w:r>
      <w:r w:rsidR="00DE1B8E" w:rsidRPr="00DE1B8E">
        <w:rPr>
          <w:sz w:val="24"/>
          <w:szCs w:val="24"/>
        </w:rPr>
        <w:t>$4.0</w:t>
      </w:r>
      <w:r w:rsidR="00C066FE" w:rsidRPr="00DE1B8E">
        <w:rPr>
          <w:sz w:val="24"/>
          <w:szCs w:val="24"/>
        </w:rPr>
        <w:t xml:space="preserve"> million.</w:t>
      </w:r>
      <w:r w:rsidR="00837FE9">
        <w:rPr>
          <w:sz w:val="24"/>
          <w:szCs w:val="24"/>
        </w:rPr>
        <w:t xml:space="preserve">  </w:t>
      </w:r>
      <w:r w:rsidR="00837FE9" w:rsidRPr="00837FE9">
        <w:rPr>
          <w:sz w:val="24"/>
          <w:szCs w:val="24"/>
        </w:rPr>
        <w:t>The downward adjustment is larger than the upward adjustment based on Staff’s recommended disallowance sponsored by witness Filarowicz.</w:t>
      </w:r>
      <w:r w:rsidR="00C066FE" w:rsidRPr="00DE1B8E">
        <w:rPr>
          <w:rStyle w:val="FootnoteReference"/>
          <w:sz w:val="24"/>
          <w:szCs w:val="24"/>
        </w:rPr>
        <w:footnoteReference w:id="54"/>
      </w:r>
      <w:r w:rsidR="00711E75">
        <w:rPr>
          <w:sz w:val="24"/>
          <w:szCs w:val="24"/>
        </w:rPr>
        <w:t xml:space="preserve">  A comparison </w:t>
      </w:r>
      <w:r w:rsidR="005C409E">
        <w:rPr>
          <w:sz w:val="24"/>
          <w:szCs w:val="24"/>
        </w:rPr>
        <w:t xml:space="preserve">of Staff’s and the Company’s approaches </w:t>
      </w:r>
      <w:r w:rsidR="00711E75">
        <w:rPr>
          <w:sz w:val="24"/>
          <w:szCs w:val="24"/>
        </w:rPr>
        <w:t>can be seen in the following table:</w:t>
      </w:r>
    </w:p>
    <w:p w:rsidR="00323494" w:rsidRDefault="00323494" w:rsidP="00E6747B">
      <w:pPr>
        <w:ind w:left="2880" w:hanging="2160"/>
        <w:jc w:val="both"/>
        <w:rPr>
          <w:sz w:val="24"/>
          <w:szCs w:val="24"/>
        </w:rPr>
      </w:pPr>
      <w:r w:rsidRPr="00F944AE">
        <w:rPr>
          <w:sz w:val="24"/>
          <w:szCs w:val="24"/>
        </w:rPr>
        <w:t xml:space="preserve">Table </w:t>
      </w:r>
      <w:r w:rsidR="00F944AE" w:rsidRPr="00F944AE">
        <w:rPr>
          <w:sz w:val="24"/>
          <w:szCs w:val="24"/>
        </w:rPr>
        <w:t>BTM-3</w:t>
      </w:r>
      <w:r>
        <w:rPr>
          <w:sz w:val="24"/>
          <w:szCs w:val="24"/>
        </w:rPr>
        <w:tab/>
      </w:r>
      <w:r w:rsidR="00E6747B">
        <w:rPr>
          <w:sz w:val="24"/>
          <w:szCs w:val="24"/>
        </w:rPr>
        <w:t xml:space="preserve">Comparison of Staff’s and </w:t>
      </w:r>
      <w:r w:rsidR="00C8262C">
        <w:rPr>
          <w:sz w:val="24"/>
          <w:szCs w:val="24"/>
        </w:rPr>
        <w:t>CEHE</w:t>
      </w:r>
      <w:r w:rsidR="00E6747B">
        <w:rPr>
          <w:sz w:val="24"/>
          <w:szCs w:val="24"/>
        </w:rPr>
        <w:t>’s Funct</w:t>
      </w:r>
      <w:r w:rsidR="00D45E27">
        <w:rPr>
          <w:sz w:val="24"/>
          <w:szCs w:val="24"/>
        </w:rPr>
        <w:t xml:space="preserve">ionalization of Account 408.1, </w:t>
      </w:r>
      <w:r w:rsidR="00E6747B">
        <w:rPr>
          <w:sz w:val="24"/>
          <w:szCs w:val="24"/>
        </w:rPr>
        <w:t xml:space="preserve">Texas Gross Margins </w:t>
      </w:r>
      <w:r w:rsidR="0030176A">
        <w:rPr>
          <w:sz w:val="24"/>
          <w:szCs w:val="24"/>
        </w:rPr>
        <w:t xml:space="preserve">Tax </w:t>
      </w:r>
      <w:r w:rsidR="00E6747B">
        <w:rPr>
          <w:sz w:val="24"/>
          <w:szCs w:val="24"/>
        </w:rPr>
        <w:t>expense</w:t>
      </w:r>
    </w:p>
    <w:p w:rsidR="00E6747B" w:rsidRDefault="00E6747B" w:rsidP="00656C1F">
      <w:pPr>
        <w:jc w:val="both"/>
        <w:rPr>
          <w:sz w:val="24"/>
          <w:szCs w:val="24"/>
        </w:rPr>
      </w:pPr>
    </w:p>
    <w:tbl>
      <w:tblPr>
        <w:tblStyle w:val="TableGrid"/>
        <w:tblW w:w="9090" w:type="dxa"/>
        <w:tblInd w:w="-185" w:type="dxa"/>
        <w:tblLayout w:type="fixed"/>
        <w:tblLook w:val="04A0" w:firstRow="1" w:lastRow="0" w:firstColumn="1" w:lastColumn="0" w:noHBand="0" w:noVBand="1"/>
      </w:tblPr>
      <w:tblGrid>
        <w:gridCol w:w="2610"/>
        <w:gridCol w:w="1080"/>
        <w:gridCol w:w="1170"/>
        <w:gridCol w:w="900"/>
        <w:gridCol w:w="1080"/>
        <w:gridCol w:w="1080"/>
        <w:gridCol w:w="1170"/>
      </w:tblGrid>
      <w:tr w:rsidR="00743ADF" w:rsidRPr="000920CF" w:rsidTr="000920CF">
        <w:trPr>
          <w:trHeight w:val="562"/>
        </w:trPr>
        <w:tc>
          <w:tcPr>
            <w:tcW w:w="2610" w:type="dxa"/>
            <w:tcBorders>
              <w:bottom w:val="single" w:sz="4" w:space="0" w:color="auto"/>
            </w:tcBorders>
          </w:tcPr>
          <w:p w:rsidR="00743ADF" w:rsidRPr="000920CF" w:rsidRDefault="00743ADF" w:rsidP="00C408DA">
            <w:pPr>
              <w:jc w:val="both"/>
              <w:rPr>
                <w:sz w:val="24"/>
                <w:szCs w:val="24"/>
              </w:rPr>
            </w:pPr>
          </w:p>
        </w:tc>
        <w:tc>
          <w:tcPr>
            <w:tcW w:w="2250" w:type="dxa"/>
            <w:gridSpan w:val="2"/>
            <w:tcBorders>
              <w:bottom w:val="single" w:sz="4" w:space="0" w:color="auto"/>
            </w:tcBorders>
            <w:vAlign w:val="bottom"/>
          </w:tcPr>
          <w:p w:rsidR="00743ADF" w:rsidRPr="000920CF" w:rsidRDefault="00C8262C" w:rsidP="00D54E96">
            <w:pPr>
              <w:jc w:val="center"/>
              <w:rPr>
                <w:sz w:val="24"/>
                <w:szCs w:val="24"/>
              </w:rPr>
            </w:pPr>
            <w:r w:rsidRPr="000920CF">
              <w:rPr>
                <w:sz w:val="24"/>
                <w:szCs w:val="24"/>
              </w:rPr>
              <w:t>CEHE</w:t>
            </w:r>
            <w:r w:rsidR="00743ADF" w:rsidRPr="000920CF">
              <w:rPr>
                <w:sz w:val="24"/>
                <w:szCs w:val="24"/>
              </w:rPr>
              <w:t>’s Requested Revenues</w:t>
            </w:r>
          </w:p>
        </w:tc>
        <w:tc>
          <w:tcPr>
            <w:tcW w:w="1980" w:type="dxa"/>
            <w:gridSpan w:val="2"/>
            <w:tcBorders>
              <w:bottom w:val="single" w:sz="4" w:space="0" w:color="auto"/>
            </w:tcBorders>
          </w:tcPr>
          <w:p w:rsidR="00743ADF" w:rsidRPr="000920CF" w:rsidRDefault="00743ADF" w:rsidP="00D54E96">
            <w:pPr>
              <w:jc w:val="center"/>
              <w:rPr>
                <w:sz w:val="24"/>
                <w:szCs w:val="24"/>
              </w:rPr>
            </w:pPr>
            <w:r w:rsidRPr="000920CF">
              <w:rPr>
                <w:sz w:val="24"/>
                <w:szCs w:val="24"/>
              </w:rPr>
              <w:t>Functionalization Proportions -</w:t>
            </w:r>
          </w:p>
          <w:p w:rsidR="00743ADF" w:rsidRPr="000920CF" w:rsidRDefault="00743ADF" w:rsidP="00D54E96">
            <w:pPr>
              <w:jc w:val="center"/>
              <w:rPr>
                <w:sz w:val="24"/>
                <w:szCs w:val="24"/>
              </w:rPr>
            </w:pPr>
            <w:r w:rsidRPr="000920CF">
              <w:rPr>
                <w:sz w:val="24"/>
                <w:szCs w:val="24"/>
              </w:rPr>
              <w:t>Texas Gross Margins Tax</w:t>
            </w:r>
          </w:p>
        </w:tc>
        <w:tc>
          <w:tcPr>
            <w:tcW w:w="2250" w:type="dxa"/>
            <w:gridSpan w:val="2"/>
            <w:tcBorders>
              <w:bottom w:val="single" w:sz="4" w:space="0" w:color="auto"/>
            </w:tcBorders>
            <w:vAlign w:val="bottom"/>
          </w:tcPr>
          <w:p w:rsidR="00743ADF" w:rsidRPr="000920CF" w:rsidRDefault="00743ADF" w:rsidP="00743ADF">
            <w:pPr>
              <w:jc w:val="center"/>
              <w:rPr>
                <w:sz w:val="24"/>
                <w:szCs w:val="24"/>
              </w:rPr>
            </w:pPr>
            <w:r w:rsidRPr="000920CF">
              <w:rPr>
                <w:sz w:val="24"/>
                <w:szCs w:val="24"/>
              </w:rPr>
              <w:t>Texas Gross Margins Taxes</w:t>
            </w:r>
            <w:r w:rsidR="00A05AA7" w:rsidRPr="000920CF">
              <w:rPr>
                <w:sz w:val="24"/>
                <w:szCs w:val="24"/>
              </w:rPr>
              <w:t xml:space="preserve"> (thousands of dollars)</w:t>
            </w:r>
          </w:p>
        </w:tc>
      </w:tr>
      <w:tr w:rsidR="00743ADF" w:rsidRPr="000920CF" w:rsidTr="000920CF">
        <w:trPr>
          <w:trHeight w:val="562"/>
        </w:trPr>
        <w:tc>
          <w:tcPr>
            <w:tcW w:w="2610" w:type="dxa"/>
            <w:vMerge w:val="restart"/>
            <w:tcBorders>
              <w:bottom w:val="single" w:sz="4" w:space="0" w:color="auto"/>
            </w:tcBorders>
          </w:tcPr>
          <w:p w:rsidR="00743ADF" w:rsidRPr="000920CF" w:rsidRDefault="00743ADF" w:rsidP="00C408DA">
            <w:pPr>
              <w:jc w:val="both"/>
              <w:rPr>
                <w:sz w:val="24"/>
                <w:szCs w:val="24"/>
              </w:rPr>
            </w:pPr>
          </w:p>
        </w:tc>
        <w:tc>
          <w:tcPr>
            <w:tcW w:w="1080" w:type="dxa"/>
            <w:vMerge w:val="restart"/>
            <w:tcBorders>
              <w:bottom w:val="single" w:sz="4" w:space="0" w:color="auto"/>
            </w:tcBorders>
            <w:vAlign w:val="bottom"/>
          </w:tcPr>
          <w:p w:rsidR="00743ADF" w:rsidRPr="000920CF" w:rsidRDefault="00743ADF" w:rsidP="00D54E96">
            <w:pPr>
              <w:jc w:val="center"/>
              <w:rPr>
                <w:sz w:val="24"/>
                <w:szCs w:val="24"/>
              </w:rPr>
            </w:pPr>
            <w:r w:rsidRPr="000920CF">
              <w:rPr>
                <w:sz w:val="24"/>
                <w:szCs w:val="24"/>
              </w:rPr>
              <w:t xml:space="preserve"> (millions of dollars)</w:t>
            </w:r>
            <w:r w:rsidRPr="000920CF">
              <w:rPr>
                <w:rStyle w:val="FootnoteReference"/>
                <w:sz w:val="24"/>
                <w:szCs w:val="24"/>
              </w:rPr>
              <w:footnoteReference w:id="55"/>
            </w:r>
          </w:p>
        </w:tc>
        <w:tc>
          <w:tcPr>
            <w:tcW w:w="1170" w:type="dxa"/>
            <w:vMerge w:val="restart"/>
            <w:tcBorders>
              <w:bottom w:val="single" w:sz="4" w:space="0" w:color="auto"/>
            </w:tcBorders>
            <w:vAlign w:val="bottom"/>
          </w:tcPr>
          <w:p w:rsidR="00743ADF" w:rsidRPr="000920CF" w:rsidRDefault="00743ADF" w:rsidP="004D675C">
            <w:pPr>
              <w:jc w:val="center"/>
              <w:rPr>
                <w:sz w:val="24"/>
                <w:szCs w:val="24"/>
              </w:rPr>
            </w:pPr>
            <w:r w:rsidRPr="000920CF">
              <w:rPr>
                <w:sz w:val="24"/>
                <w:szCs w:val="24"/>
              </w:rPr>
              <w:t>Share</w:t>
            </w:r>
          </w:p>
          <w:p w:rsidR="00743ADF" w:rsidRPr="000920CF" w:rsidRDefault="00743ADF" w:rsidP="004D675C">
            <w:pPr>
              <w:jc w:val="center"/>
              <w:rPr>
                <w:sz w:val="24"/>
                <w:szCs w:val="24"/>
              </w:rPr>
            </w:pPr>
            <w:r w:rsidRPr="000920CF">
              <w:rPr>
                <w:sz w:val="24"/>
                <w:szCs w:val="24"/>
              </w:rPr>
              <w:t>of</w:t>
            </w:r>
          </w:p>
          <w:p w:rsidR="00743ADF" w:rsidRPr="000920CF" w:rsidRDefault="00743ADF" w:rsidP="004D675C">
            <w:pPr>
              <w:jc w:val="center"/>
              <w:rPr>
                <w:sz w:val="24"/>
                <w:szCs w:val="24"/>
              </w:rPr>
            </w:pPr>
            <w:r w:rsidRPr="000920CF">
              <w:rPr>
                <w:sz w:val="24"/>
                <w:szCs w:val="24"/>
              </w:rPr>
              <w:t>Revenues</w:t>
            </w:r>
          </w:p>
        </w:tc>
        <w:tc>
          <w:tcPr>
            <w:tcW w:w="900" w:type="dxa"/>
            <w:tcBorders>
              <w:bottom w:val="single" w:sz="4" w:space="0" w:color="auto"/>
            </w:tcBorders>
          </w:tcPr>
          <w:p w:rsidR="00743ADF" w:rsidRPr="000920CF" w:rsidRDefault="00743ADF" w:rsidP="004D675C">
            <w:pPr>
              <w:jc w:val="center"/>
              <w:rPr>
                <w:sz w:val="24"/>
                <w:szCs w:val="24"/>
              </w:rPr>
            </w:pPr>
          </w:p>
        </w:tc>
        <w:tc>
          <w:tcPr>
            <w:tcW w:w="1080" w:type="dxa"/>
            <w:tcBorders>
              <w:bottom w:val="single" w:sz="4" w:space="0" w:color="auto"/>
            </w:tcBorders>
            <w:vAlign w:val="bottom"/>
          </w:tcPr>
          <w:p w:rsidR="00743ADF" w:rsidRPr="000920CF" w:rsidRDefault="00743ADF" w:rsidP="004D675C">
            <w:pPr>
              <w:jc w:val="center"/>
              <w:rPr>
                <w:sz w:val="24"/>
                <w:szCs w:val="24"/>
              </w:rPr>
            </w:pPr>
          </w:p>
        </w:tc>
        <w:tc>
          <w:tcPr>
            <w:tcW w:w="1080" w:type="dxa"/>
            <w:tcBorders>
              <w:bottom w:val="single" w:sz="4" w:space="0" w:color="auto"/>
            </w:tcBorders>
            <w:vAlign w:val="bottom"/>
          </w:tcPr>
          <w:p w:rsidR="00743ADF" w:rsidRPr="000920CF" w:rsidRDefault="00743ADF" w:rsidP="00743ADF">
            <w:pPr>
              <w:jc w:val="center"/>
              <w:rPr>
                <w:sz w:val="24"/>
                <w:szCs w:val="24"/>
              </w:rPr>
            </w:pPr>
          </w:p>
        </w:tc>
        <w:tc>
          <w:tcPr>
            <w:tcW w:w="1170" w:type="dxa"/>
            <w:tcBorders>
              <w:bottom w:val="single" w:sz="4" w:space="0" w:color="auto"/>
            </w:tcBorders>
            <w:vAlign w:val="bottom"/>
          </w:tcPr>
          <w:p w:rsidR="00743ADF" w:rsidRPr="000920CF" w:rsidRDefault="00743ADF" w:rsidP="00743ADF">
            <w:pPr>
              <w:jc w:val="center"/>
              <w:rPr>
                <w:sz w:val="24"/>
                <w:szCs w:val="24"/>
              </w:rPr>
            </w:pPr>
          </w:p>
        </w:tc>
      </w:tr>
      <w:tr w:rsidR="00743ADF" w:rsidRPr="000920CF" w:rsidTr="000920CF">
        <w:tc>
          <w:tcPr>
            <w:tcW w:w="2610" w:type="dxa"/>
            <w:vMerge/>
          </w:tcPr>
          <w:p w:rsidR="00743ADF" w:rsidRPr="000920CF" w:rsidRDefault="00743ADF" w:rsidP="00743ADF">
            <w:pPr>
              <w:jc w:val="both"/>
              <w:rPr>
                <w:sz w:val="24"/>
                <w:szCs w:val="24"/>
              </w:rPr>
            </w:pPr>
          </w:p>
        </w:tc>
        <w:tc>
          <w:tcPr>
            <w:tcW w:w="1080" w:type="dxa"/>
            <w:vMerge/>
            <w:vAlign w:val="bottom"/>
          </w:tcPr>
          <w:p w:rsidR="00743ADF" w:rsidRPr="000920CF" w:rsidRDefault="00743ADF" w:rsidP="00743ADF">
            <w:pPr>
              <w:jc w:val="center"/>
              <w:rPr>
                <w:sz w:val="24"/>
                <w:szCs w:val="24"/>
              </w:rPr>
            </w:pPr>
          </w:p>
        </w:tc>
        <w:tc>
          <w:tcPr>
            <w:tcW w:w="1170" w:type="dxa"/>
            <w:vMerge/>
            <w:vAlign w:val="bottom"/>
          </w:tcPr>
          <w:p w:rsidR="00743ADF" w:rsidRPr="000920CF" w:rsidRDefault="00743ADF" w:rsidP="00743ADF">
            <w:pPr>
              <w:jc w:val="center"/>
              <w:rPr>
                <w:sz w:val="24"/>
                <w:szCs w:val="24"/>
              </w:rPr>
            </w:pPr>
          </w:p>
        </w:tc>
        <w:tc>
          <w:tcPr>
            <w:tcW w:w="900" w:type="dxa"/>
            <w:vAlign w:val="bottom"/>
          </w:tcPr>
          <w:p w:rsidR="00743ADF" w:rsidRPr="000920CF" w:rsidRDefault="00743ADF" w:rsidP="00743ADF">
            <w:pPr>
              <w:jc w:val="center"/>
              <w:rPr>
                <w:sz w:val="24"/>
                <w:szCs w:val="24"/>
              </w:rPr>
            </w:pPr>
            <w:r w:rsidRPr="000920CF">
              <w:rPr>
                <w:sz w:val="24"/>
                <w:szCs w:val="24"/>
              </w:rPr>
              <w:t>Staff</w:t>
            </w:r>
            <w:r w:rsidRPr="000920CF">
              <w:rPr>
                <w:rStyle w:val="FootnoteReference"/>
                <w:sz w:val="24"/>
                <w:szCs w:val="24"/>
              </w:rPr>
              <w:footnoteReference w:id="56"/>
            </w:r>
          </w:p>
        </w:tc>
        <w:tc>
          <w:tcPr>
            <w:tcW w:w="1080" w:type="dxa"/>
            <w:vAlign w:val="bottom"/>
          </w:tcPr>
          <w:p w:rsidR="00743ADF" w:rsidRPr="000920CF" w:rsidRDefault="00743ADF" w:rsidP="00743ADF">
            <w:pPr>
              <w:jc w:val="center"/>
              <w:rPr>
                <w:sz w:val="24"/>
                <w:szCs w:val="24"/>
              </w:rPr>
            </w:pPr>
            <w:r w:rsidRPr="000920CF">
              <w:rPr>
                <w:sz w:val="24"/>
                <w:szCs w:val="24"/>
              </w:rPr>
              <w:t>Center-Point</w:t>
            </w:r>
            <w:r w:rsidRPr="000920CF">
              <w:rPr>
                <w:rStyle w:val="FootnoteReference"/>
                <w:sz w:val="24"/>
                <w:szCs w:val="24"/>
              </w:rPr>
              <w:footnoteReference w:id="57"/>
            </w:r>
          </w:p>
        </w:tc>
        <w:tc>
          <w:tcPr>
            <w:tcW w:w="1080" w:type="dxa"/>
            <w:vAlign w:val="bottom"/>
          </w:tcPr>
          <w:p w:rsidR="00743ADF" w:rsidRPr="000920CF" w:rsidRDefault="00743ADF" w:rsidP="00743ADF">
            <w:pPr>
              <w:jc w:val="center"/>
              <w:rPr>
                <w:sz w:val="24"/>
                <w:szCs w:val="24"/>
              </w:rPr>
            </w:pPr>
            <w:r w:rsidRPr="000920CF">
              <w:rPr>
                <w:sz w:val="24"/>
                <w:szCs w:val="24"/>
              </w:rPr>
              <w:t>Staff</w:t>
            </w:r>
          </w:p>
        </w:tc>
        <w:tc>
          <w:tcPr>
            <w:tcW w:w="1170" w:type="dxa"/>
            <w:vAlign w:val="bottom"/>
          </w:tcPr>
          <w:p w:rsidR="00743ADF" w:rsidRPr="000920CF" w:rsidRDefault="00743ADF" w:rsidP="00743ADF">
            <w:pPr>
              <w:jc w:val="center"/>
              <w:rPr>
                <w:sz w:val="24"/>
                <w:szCs w:val="24"/>
              </w:rPr>
            </w:pPr>
            <w:r w:rsidRPr="000920CF">
              <w:rPr>
                <w:sz w:val="24"/>
                <w:szCs w:val="24"/>
              </w:rPr>
              <w:t>Center-Point</w:t>
            </w:r>
          </w:p>
        </w:tc>
      </w:tr>
      <w:tr w:rsidR="00743ADF" w:rsidRPr="000920CF" w:rsidTr="000920CF">
        <w:tc>
          <w:tcPr>
            <w:tcW w:w="2610" w:type="dxa"/>
          </w:tcPr>
          <w:p w:rsidR="00743ADF" w:rsidRPr="000920CF" w:rsidRDefault="00743ADF" w:rsidP="00743ADF">
            <w:pPr>
              <w:jc w:val="both"/>
              <w:rPr>
                <w:sz w:val="24"/>
                <w:szCs w:val="24"/>
              </w:rPr>
            </w:pPr>
            <w:r w:rsidRPr="000920CF">
              <w:rPr>
                <w:sz w:val="24"/>
                <w:szCs w:val="24"/>
              </w:rPr>
              <w:t>Wholesale Transmission</w:t>
            </w:r>
          </w:p>
        </w:tc>
        <w:tc>
          <w:tcPr>
            <w:tcW w:w="1080" w:type="dxa"/>
          </w:tcPr>
          <w:p w:rsidR="00743ADF" w:rsidRPr="000920CF" w:rsidRDefault="00743ADF" w:rsidP="00743ADF">
            <w:pPr>
              <w:jc w:val="right"/>
              <w:rPr>
                <w:sz w:val="24"/>
                <w:szCs w:val="24"/>
              </w:rPr>
            </w:pPr>
            <w:r w:rsidRPr="000920CF">
              <w:rPr>
                <w:sz w:val="24"/>
                <w:szCs w:val="24"/>
              </w:rPr>
              <w:t>395.8</w:t>
            </w:r>
          </w:p>
        </w:tc>
        <w:tc>
          <w:tcPr>
            <w:tcW w:w="1170" w:type="dxa"/>
          </w:tcPr>
          <w:p w:rsidR="00743ADF" w:rsidRPr="000920CF" w:rsidRDefault="00743ADF" w:rsidP="00743ADF">
            <w:pPr>
              <w:jc w:val="right"/>
              <w:rPr>
                <w:sz w:val="24"/>
                <w:szCs w:val="24"/>
              </w:rPr>
            </w:pPr>
            <w:r w:rsidRPr="000920CF">
              <w:rPr>
                <w:sz w:val="24"/>
                <w:szCs w:val="24"/>
              </w:rPr>
              <w:t>0.148</w:t>
            </w:r>
          </w:p>
        </w:tc>
        <w:tc>
          <w:tcPr>
            <w:tcW w:w="900" w:type="dxa"/>
          </w:tcPr>
          <w:p w:rsidR="00743ADF" w:rsidRPr="000920CF" w:rsidRDefault="00743ADF" w:rsidP="00743ADF">
            <w:pPr>
              <w:jc w:val="right"/>
              <w:rPr>
                <w:sz w:val="24"/>
                <w:szCs w:val="24"/>
              </w:rPr>
            </w:pPr>
            <w:r w:rsidRPr="000920CF">
              <w:rPr>
                <w:sz w:val="24"/>
                <w:szCs w:val="24"/>
              </w:rPr>
              <w:t>0.133</w:t>
            </w:r>
          </w:p>
        </w:tc>
        <w:tc>
          <w:tcPr>
            <w:tcW w:w="1080" w:type="dxa"/>
          </w:tcPr>
          <w:p w:rsidR="00743ADF" w:rsidRPr="000920CF" w:rsidRDefault="00743ADF" w:rsidP="00743ADF">
            <w:pPr>
              <w:jc w:val="right"/>
              <w:rPr>
                <w:sz w:val="24"/>
                <w:szCs w:val="24"/>
              </w:rPr>
            </w:pPr>
            <w:r w:rsidRPr="000920CF">
              <w:rPr>
                <w:sz w:val="24"/>
                <w:szCs w:val="24"/>
              </w:rPr>
              <w:t>0.413</w:t>
            </w:r>
          </w:p>
        </w:tc>
        <w:tc>
          <w:tcPr>
            <w:tcW w:w="1080" w:type="dxa"/>
          </w:tcPr>
          <w:p w:rsidR="00743ADF" w:rsidRPr="000920CF" w:rsidRDefault="00A05AA7" w:rsidP="00743ADF">
            <w:pPr>
              <w:jc w:val="right"/>
              <w:rPr>
                <w:sz w:val="24"/>
                <w:szCs w:val="24"/>
              </w:rPr>
            </w:pPr>
            <w:r w:rsidRPr="000920CF">
              <w:rPr>
                <w:sz w:val="24"/>
                <w:szCs w:val="24"/>
              </w:rPr>
              <w:t>2,519</w:t>
            </w:r>
          </w:p>
        </w:tc>
        <w:tc>
          <w:tcPr>
            <w:tcW w:w="1170" w:type="dxa"/>
          </w:tcPr>
          <w:p w:rsidR="00743ADF" w:rsidRPr="000920CF" w:rsidRDefault="00A05AA7" w:rsidP="00743ADF">
            <w:pPr>
              <w:jc w:val="right"/>
              <w:rPr>
                <w:sz w:val="24"/>
                <w:szCs w:val="24"/>
              </w:rPr>
            </w:pPr>
            <w:r w:rsidRPr="000920CF">
              <w:rPr>
                <w:sz w:val="24"/>
                <w:szCs w:val="24"/>
              </w:rPr>
              <w:t>8,272</w:t>
            </w:r>
          </w:p>
        </w:tc>
      </w:tr>
      <w:tr w:rsidR="00743ADF" w:rsidRPr="000920CF" w:rsidTr="000920CF">
        <w:tc>
          <w:tcPr>
            <w:tcW w:w="2610" w:type="dxa"/>
          </w:tcPr>
          <w:p w:rsidR="00743ADF" w:rsidRPr="000920CF" w:rsidRDefault="00743ADF" w:rsidP="00743ADF">
            <w:pPr>
              <w:jc w:val="both"/>
              <w:rPr>
                <w:sz w:val="24"/>
                <w:szCs w:val="24"/>
              </w:rPr>
            </w:pPr>
            <w:r w:rsidRPr="000920CF">
              <w:rPr>
                <w:sz w:val="24"/>
                <w:szCs w:val="24"/>
              </w:rPr>
              <w:t>Retail Delivery:</w:t>
            </w:r>
          </w:p>
        </w:tc>
        <w:tc>
          <w:tcPr>
            <w:tcW w:w="1080" w:type="dxa"/>
          </w:tcPr>
          <w:p w:rsidR="00743ADF" w:rsidRPr="000920CF" w:rsidRDefault="00743ADF" w:rsidP="00743ADF">
            <w:pPr>
              <w:jc w:val="right"/>
              <w:rPr>
                <w:sz w:val="24"/>
                <w:szCs w:val="24"/>
              </w:rPr>
            </w:pPr>
            <w:r w:rsidRPr="000920CF">
              <w:rPr>
                <w:sz w:val="24"/>
                <w:szCs w:val="24"/>
              </w:rPr>
              <w:t>2,282.2</w:t>
            </w:r>
          </w:p>
        </w:tc>
        <w:tc>
          <w:tcPr>
            <w:tcW w:w="1170" w:type="dxa"/>
          </w:tcPr>
          <w:p w:rsidR="00743ADF" w:rsidRPr="000920CF" w:rsidRDefault="00743ADF" w:rsidP="00743ADF">
            <w:pPr>
              <w:jc w:val="right"/>
              <w:rPr>
                <w:sz w:val="24"/>
                <w:szCs w:val="24"/>
              </w:rPr>
            </w:pPr>
            <w:r w:rsidRPr="000920CF">
              <w:rPr>
                <w:sz w:val="24"/>
                <w:szCs w:val="24"/>
              </w:rPr>
              <w:t>0.852</w:t>
            </w:r>
          </w:p>
        </w:tc>
        <w:tc>
          <w:tcPr>
            <w:tcW w:w="900" w:type="dxa"/>
          </w:tcPr>
          <w:p w:rsidR="00743ADF" w:rsidRPr="000920CF" w:rsidRDefault="00743ADF" w:rsidP="00743ADF">
            <w:pPr>
              <w:jc w:val="right"/>
              <w:rPr>
                <w:sz w:val="24"/>
                <w:szCs w:val="24"/>
              </w:rPr>
            </w:pPr>
            <w:r w:rsidRPr="000920CF">
              <w:rPr>
                <w:sz w:val="24"/>
                <w:szCs w:val="24"/>
              </w:rPr>
              <w:t>0.867</w:t>
            </w:r>
          </w:p>
        </w:tc>
        <w:tc>
          <w:tcPr>
            <w:tcW w:w="1080" w:type="dxa"/>
          </w:tcPr>
          <w:p w:rsidR="00743ADF" w:rsidRPr="000920CF" w:rsidRDefault="00743ADF" w:rsidP="00743ADF">
            <w:pPr>
              <w:jc w:val="right"/>
              <w:rPr>
                <w:sz w:val="24"/>
                <w:szCs w:val="24"/>
              </w:rPr>
            </w:pPr>
            <w:r w:rsidRPr="000920CF">
              <w:rPr>
                <w:sz w:val="24"/>
                <w:szCs w:val="24"/>
              </w:rPr>
              <w:t>0.587</w:t>
            </w:r>
          </w:p>
        </w:tc>
        <w:tc>
          <w:tcPr>
            <w:tcW w:w="1080" w:type="dxa"/>
          </w:tcPr>
          <w:p w:rsidR="00743ADF" w:rsidRPr="000920CF" w:rsidRDefault="00A05AA7" w:rsidP="00743ADF">
            <w:pPr>
              <w:jc w:val="right"/>
              <w:rPr>
                <w:sz w:val="24"/>
                <w:szCs w:val="24"/>
              </w:rPr>
            </w:pPr>
            <w:r w:rsidRPr="000920CF">
              <w:rPr>
                <w:sz w:val="24"/>
                <w:szCs w:val="24"/>
              </w:rPr>
              <w:t>16,338</w:t>
            </w:r>
          </w:p>
        </w:tc>
        <w:tc>
          <w:tcPr>
            <w:tcW w:w="1170" w:type="dxa"/>
          </w:tcPr>
          <w:p w:rsidR="00743ADF" w:rsidRPr="000920CF" w:rsidRDefault="00A05AA7" w:rsidP="00743ADF">
            <w:pPr>
              <w:jc w:val="right"/>
              <w:rPr>
                <w:sz w:val="24"/>
                <w:szCs w:val="24"/>
              </w:rPr>
            </w:pPr>
            <w:r w:rsidRPr="000920CF">
              <w:rPr>
                <w:sz w:val="24"/>
                <w:szCs w:val="24"/>
              </w:rPr>
              <w:t>11,755</w:t>
            </w:r>
          </w:p>
        </w:tc>
      </w:tr>
      <w:tr w:rsidR="00743ADF" w:rsidRPr="000920CF" w:rsidTr="000920CF">
        <w:tc>
          <w:tcPr>
            <w:tcW w:w="2610" w:type="dxa"/>
          </w:tcPr>
          <w:p w:rsidR="00743ADF" w:rsidRPr="000920CF" w:rsidRDefault="00743ADF" w:rsidP="00743ADF">
            <w:pPr>
              <w:jc w:val="right"/>
              <w:rPr>
                <w:i/>
                <w:sz w:val="24"/>
                <w:szCs w:val="24"/>
              </w:rPr>
            </w:pPr>
            <w:r w:rsidRPr="000920CF">
              <w:rPr>
                <w:i/>
                <w:sz w:val="24"/>
                <w:szCs w:val="24"/>
              </w:rPr>
              <w:t>Retail transmission</w:t>
            </w:r>
          </w:p>
        </w:tc>
        <w:tc>
          <w:tcPr>
            <w:tcW w:w="1080" w:type="dxa"/>
          </w:tcPr>
          <w:p w:rsidR="00743ADF" w:rsidRPr="000920CF" w:rsidRDefault="00743ADF" w:rsidP="00743ADF">
            <w:pPr>
              <w:jc w:val="right"/>
              <w:rPr>
                <w:i/>
                <w:sz w:val="24"/>
                <w:szCs w:val="24"/>
              </w:rPr>
            </w:pPr>
            <w:r w:rsidRPr="000920CF">
              <w:rPr>
                <w:i/>
                <w:sz w:val="24"/>
                <w:szCs w:val="24"/>
              </w:rPr>
              <w:t>942.6</w:t>
            </w:r>
          </w:p>
        </w:tc>
        <w:tc>
          <w:tcPr>
            <w:tcW w:w="1170" w:type="dxa"/>
          </w:tcPr>
          <w:p w:rsidR="00743ADF" w:rsidRPr="000920CF" w:rsidRDefault="00743ADF" w:rsidP="00743ADF">
            <w:pPr>
              <w:jc w:val="right"/>
              <w:rPr>
                <w:i/>
                <w:sz w:val="24"/>
                <w:szCs w:val="24"/>
              </w:rPr>
            </w:pPr>
            <w:r w:rsidRPr="000920CF">
              <w:rPr>
                <w:i/>
                <w:sz w:val="24"/>
                <w:szCs w:val="24"/>
              </w:rPr>
              <w:t>0.352</w:t>
            </w:r>
          </w:p>
        </w:tc>
        <w:tc>
          <w:tcPr>
            <w:tcW w:w="900" w:type="dxa"/>
          </w:tcPr>
          <w:p w:rsidR="00743ADF" w:rsidRPr="000920CF" w:rsidRDefault="00743ADF" w:rsidP="00743ADF">
            <w:pPr>
              <w:jc w:val="right"/>
              <w:rPr>
                <w:i/>
                <w:sz w:val="24"/>
                <w:szCs w:val="24"/>
              </w:rPr>
            </w:pPr>
            <w:r w:rsidRPr="000920CF">
              <w:rPr>
                <w:i/>
                <w:sz w:val="24"/>
                <w:szCs w:val="24"/>
              </w:rPr>
              <w:t>0.000</w:t>
            </w:r>
          </w:p>
        </w:tc>
        <w:tc>
          <w:tcPr>
            <w:tcW w:w="1080" w:type="dxa"/>
          </w:tcPr>
          <w:p w:rsidR="00743ADF" w:rsidRPr="000920CF" w:rsidRDefault="00743ADF" w:rsidP="00743ADF">
            <w:pPr>
              <w:jc w:val="right"/>
              <w:rPr>
                <w:i/>
                <w:sz w:val="24"/>
                <w:szCs w:val="24"/>
              </w:rPr>
            </w:pPr>
            <w:r w:rsidRPr="000920CF">
              <w:rPr>
                <w:i/>
                <w:sz w:val="24"/>
                <w:szCs w:val="24"/>
              </w:rPr>
              <w:t>0.000</w:t>
            </w:r>
          </w:p>
        </w:tc>
        <w:tc>
          <w:tcPr>
            <w:tcW w:w="1080" w:type="dxa"/>
          </w:tcPr>
          <w:p w:rsidR="00743ADF" w:rsidRPr="000920CF" w:rsidRDefault="00A05AA7" w:rsidP="00743ADF">
            <w:pPr>
              <w:jc w:val="right"/>
              <w:rPr>
                <w:i/>
                <w:sz w:val="24"/>
                <w:szCs w:val="24"/>
              </w:rPr>
            </w:pPr>
            <w:r w:rsidRPr="000920CF">
              <w:rPr>
                <w:i/>
                <w:sz w:val="24"/>
                <w:szCs w:val="24"/>
              </w:rPr>
              <w:t>0</w:t>
            </w:r>
          </w:p>
        </w:tc>
        <w:tc>
          <w:tcPr>
            <w:tcW w:w="1170" w:type="dxa"/>
          </w:tcPr>
          <w:p w:rsidR="00743ADF" w:rsidRPr="000920CF" w:rsidRDefault="00A05AA7" w:rsidP="00743ADF">
            <w:pPr>
              <w:jc w:val="right"/>
              <w:rPr>
                <w:i/>
                <w:sz w:val="24"/>
                <w:szCs w:val="24"/>
              </w:rPr>
            </w:pPr>
            <w:r w:rsidRPr="000920CF">
              <w:rPr>
                <w:i/>
                <w:sz w:val="24"/>
                <w:szCs w:val="24"/>
              </w:rPr>
              <w:t>0</w:t>
            </w:r>
          </w:p>
        </w:tc>
      </w:tr>
      <w:tr w:rsidR="00743ADF" w:rsidRPr="000920CF" w:rsidTr="000920CF">
        <w:tc>
          <w:tcPr>
            <w:tcW w:w="2610" w:type="dxa"/>
          </w:tcPr>
          <w:p w:rsidR="00743ADF" w:rsidRPr="000920CF" w:rsidRDefault="00743ADF" w:rsidP="00743ADF">
            <w:pPr>
              <w:jc w:val="right"/>
              <w:rPr>
                <w:i/>
                <w:sz w:val="24"/>
                <w:szCs w:val="24"/>
              </w:rPr>
            </w:pPr>
            <w:r w:rsidRPr="000920CF">
              <w:rPr>
                <w:i/>
                <w:sz w:val="24"/>
                <w:szCs w:val="24"/>
              </w:rPr>
              <w:t>Distribution</w:t>
            </w:r>
          </w:p>
        </w:tc>
        <w:tc>
          <w:tcPr>
            <w:tcW w:w="1080" w:type="dxa"/>
          </w:tcPr>
          <w:p w:rsidR="00743ADF" w:rsidRPr="000920CF" w:rsidRDefault="00743ADF" w:rsidP="00743ADF">
            <w:pPr>
              <w:jc w:val="right"/>
              <w:rPr>
                <w:i/>
                <w:sz w:val="24"/>
                <w:szCs w:val="24"/>
              </w:rPr>
            </w:pPr>
            <w:r w:rsidRPr="000920CF">
              <w:rPr>
                <w:i/>
                <w:sz w:val="24"/>
                <w:szCs w:val="24"/>
              </w:rPr>
              <w:t>1,182.5</w:t>
            </w:r>
          </w:p>
        </w:tc>
        <w:tc>
          <w:tcPr>
            <w:tcW w:w="1170" w:type="dxa"/>
          </w:tcPr>
          <w:p w:rsidR="00743ADF" w:rsidRPr="000920CF" w:rsidRDefault="00743ADF" w:rsidP="00743ADF">
            <w:pPr>
              <w:jc w:val="right"/>
              <w:rPr>
                <w:i/>
                <w:sz w:val="24"/>
                <w:szCs w:val="24"/>
              </w:rPr>
            </w:pPr>
            <w:r w:rsidRPr="000920CF">
              <w:rPr>
                <w:i/>
                <w:sz w:val="24"/>
                <w:szCs w:val="24"/>
              </w:rPr>
              <w:t>0.441</w:t>
            </w:r>
          </w:p>
        </w:tc>
        <w:tc>
          <w:tcPr>
            <w:tcW w:w="900" w:type="dxa"/>
          </w:tcPr>
          <w:p w:rsidR="00743ADF" w:rsidRPr="000920CF" w:rsidRDefault="00743ADF" w:rsidP="00743ADF">
            <w:pPr>
              <w:jc w:val="right"/>
              <w:rPr>
                <w:i/>
                <w:sz w:val="24"/>
                <w:szCs w:val="24"/>
              </w:rPr>
            </w:pPr>
            <w:r w:rsidRPr="000920CF">
              <w:rPr>
                <w:i/>
                <w:sz w:val="24"/>
                <w:szCs w:val="24"/>
              </w:rPr>
              <w:t>0.762</w:t>
            </w:r>
          </w:p>
        </w:tc>
        <w:tc>
          <w:tcPr>
            <w:tcW w:w="1080" w:type="dxa"/>
          </w:tcPr>
          <w:p w:rsidR="00743ADF" w:rsidRPr="000920CF" w:rsidRDefault="00743ADF" w:rsidP="00743ADF">
            <w:pPr>
              <w:jc w:val="right"/>
              <w:rPr>
                <w:i/>
                <w:sz w:val="24"/>
                <w:szCs w:val="24"/>
              </w:rPr>
            </w:pPr>
            <w:r w:rsidRPr="000920CF">
              <w:rPr>
                <w:i/>
                <w:sz w:val="24"/>
                <w:szCs w:val="24"/>
              </w:rPr>
              <w:t>0.519</w:t>
            </w:r>
          </w:p>
        </w:tc>
        <w:tc>
          <w:tcPr>
            <w:tcW w:w="1080" w:type="dxa"/>
          </w:tcPr>
          <w:p w:rsidR="00743ADF" w:rsidRPr="000920CF" w:rsidRDefault="00A05AA7" w:rsidP="00743ADF">
            <w:pPr>
              <w:jc w:val="right"/>
              <w:rPr>
                <w:i/>
                <w:sz w:val="24"/>
                <w:szCs w:val="24"/>
              </w:rPr>
            </w:pPr>
            <w:r w:rsidRPr="000920CF">
              <w:rPr>
                <w:i/>
                <w:sz w:val="24"/>
                <w:szCs w:val="24"/>
              </w:rPr>
              <w:t>14.359</w:t>
            </w:r>
          </w:p>
        </w:tc>
        <w:tc>
          <w:tcPr>
            <w:tcW w:w="1170" w:type="dxa"/>
          </w:tcPr>
          <w:p w:rsidR="00743ADF" w:rsidRPr="000920CF" w:rsidRDefault="00A05AA7" w:rsidP="00743ADF">
            <w:pPr>
              <w:jc w:val="right"/>
              <w:rPr>
                <w:i/>
                <w:sz w:val="24"/>
                <w:szCs w:val="24"/>
              </w:rPr>
            </w:pPr>
            <w:r w:rsidRPr="000920CF">
              <w:rPr>
                <w:i/>
                <w:sz w:val="24"/>
                <w:szCs w:val="24"/>
              </w:rPr>
              <w:t>10,377</w:t>
            </w:r>
          </w:p>
        </w:tc>
      </w:tr>
      <w:tr w:rsidR="00743ADF" w:rsidRPr="000920CF" w:rsidTr="000920CF">
        <w:tc>
          <w:tcPr>
            <w:tcW w:w="2610" w:type="dxa"/>
          </w:tcPr>
          <w:p w:rsidR="00743ADF" w:rsidRPr="000920CF" w:rsidRDefault="00743ADF" w:rsidP="00743ADF">
            <w:pPr>
              <w:jc w:val="right"/>
              <w:rPr>
                <w:i/>
                <w:sz w:val="24"/>
                <w:szCs w:val="24"/>
              </w:rPr>
            </w:pPr>
            <w:r w:rsidRPr="000920CF">
              <w:rPr>
                <w:i/>
                <w:sz w:val="24"/>
                <w:szCs w:val="24"/>
              </w:rPr>
              <w:t>Metering</w:t>
            </w:r>
          </w:p>
        </w:tc>
        <w:tc>
          <w:tcPr>
            <w:tcW w:w="1080" w:type="dxa"/>
          </w:tcPr>
          <w:p w:rsidR="00743ADF" w:rsidRPr="000920CF" w:rsidRDefault="00743ADF" w:rsidP="00743ADF">
            <w:pPr>
              <w:jc w:val="right"/>
              <w:rPr>
                <w:i/>
                <w:sz w:val="24"/>
                <w:szCs w:val="24"/>
              </w:rPr>
            </w:pPr>
            <w:r w:rsidRPr="000920CF">
              <w:rPr>
                <w:i/>
                <w:sz w:val="24"/>
                <w:szCs w:val="24"/>
              </w:rPr>
              <w:t>76.3</w:t>
            </w:r>
          </w:p>
        </w:tc>
        <w:tc>
          <w:tcPr>
            <w:tcW w:w="1170" w:type="dxa"/>
          </w:tcPr>
          <w:p w:rsidR="00743ADF" w:rsidRPr="000920CF" w:rsidRDefault="00743ADF" w:rsidP="00743ADF">
            <w:pPr>
              <w:jc w:val="right"/>
              <w:rPr>
                <w:i/>
                <w:sz w:val="24"/>
                <w:szCs w:val="24"/>
              </w:rPr>
            </w:pPr>
            <w:r w:rsidRPr="000920CF">
              <w:rPr>
                <w:i/>
                <w:sz w:val="24"/>
                <w:szCs w:val="24"/>
              </w:rPr>
              <w:t>0.028</w:t>
            </w:r>
          </w:p>
        </w:tc>
        <w:tc>
          <w:tcPr>
            <w:tcW w:w="900" w:type="dxa"/>
          </w:tcPr>
          <w:p w:rsidR="00743ADF" w:rsidRPr="000920CF" w:rsidRDefault="00743ADF" w:rsidP="00743ADF">
            <w:pPr>
              <w:jc w:val="right"/>
              <w:rPr>
                <w:i/>
                <w:sz w:val="24"/>
                <w:szCs w:val="24"/>
              </w:rPr>
            </w:pPr>
            <w:r w:rsidRPr="000920CF">
              <w:rPr>
                <w:i/>
                <w:sz w:val="24"/>
                <w:szCs w:val="24"/>
              </w:rPr>
              <w:t>0.052</w:t>
            </w:r>
          </w:p>
        </w:tc>
        <w:tc>
          <w:tcPr>
            <w:tcW w:w="1080" w:type="dxa"/>
          </w:tcPr>
          <w:p w:rsidR="00743ADF" w:rsidRPr="000920CF" w:rsidRDefault="00743ADF" w:rsidP="00743ADF">
            <w:pPr>
              <w:jc w:val="right"/>
              <w:rPr>
                <w:i/>
                <w:sz w:val="24"/>
                <w:szCs w:val="24"/>
              </w:rPr>
            </w:pPr>
            <w:r w:rsidRPr="000920CF">
              <w:rPr>
                <w:i/>
                <w:sz w:val="24"/>
                <w:szCs w:val="24"/>
              </w:rPr>
              <w:t>0.033</w:t>
            </w:r>
          </w:p>
        </w:tc>
        <w:tc>
          <w:tcPr>
            <w:tcW w:w="1080" w:type="dxa"/>
          </w:tcPr>
          <w:p w:rsidR="00743ADF" w:rsidRPr="000920CF" w:rsidRDefault="00A05AA7" w:rsidP="00743ADF">
            <w:pPr>
              <w:jc w:val="right"/>
              <w:rPr>
                <w:i/>
                <w:sz w:val="24"/>
                <w:szCs w:val="24"/>
              </w:rPr>
            </w:pPr>
            <w:r w:rsidRPr="000920CF">
              <w:rPr>
                <w:i/>
                <w:sz w:val="24"/>
                <w:szCs w:val="24"/>
              </w:rPr>
              <w:t>973</w:t>
            </w:r>
          </w:p>
        </w:tc>
        <w:tc>
          <w:tcPr>
            <w:tcW w:w="1170" w:type="dxa"/>
          </w:tcPr>
          <w:p w:rsidR="00743ADF" w:rsidRPr="000920CF" w:rsidRDefault="00A05AA7" w:rsidP="00743ADF">
            <w:pPr>
              <w:jc w:val="right"/>
              <w:rPr>
                <w:i/>
                <w:sz w:val="24"/>
                <w:szCs w:val="24"/>
              </w:rPr>
            </w:pPr>
            <w:r w:rsidRPr="000920CF">
              <w:rPr>
                <w:i/>
                <w:sz w:val="24"/>
                <w:szCs w:val="24"/>
              </w:rPr>
              <w:t>670</w:t>
            </w:r>
          </w:p>
        </w:tc>
      </w:tr>
      <w:tr w:rsidR="00743ADF" w:rsidRPr="000920CF" w:rsidTr="000920CF">
        <w:tc>
          <w:tcPr>
            <w:tcW w:w="2610" w:type="dxa"/>
          </w:tcPr>
          <w:p w:rsidR="00743ADF" w:rsidRPr="000920CF" w:rsidRDefault="00743ADF" w:rsidP="00743ADF">
            <w:pPr>
              <w:jc w:val="right"/>
              <w:rPr>
                <w:i/>
                <w:sz w:val="24"/>
                <w:szCs w:val="24"/>
              </w:rPr>
            </w:pPr>
            <w:r w:rsidRPr="000920CF">
              <w:rPr>
                <w:i/>
                <w:sz w:val="24"/>
                <w:szCs w:val="24"/>
              </w:rPr>
              <w:lastRenderedPageBreak/>
              <w:t>Customer Service</w:t>
            </w:r>
          </w:p>
        </w:tc>
        <w:tc>
          <w:tcPr>
            <w:tcW w:w="1080" w:type="dxa"/>
          </w:tcPr>
          <w:p w:rsidR="00743ADF" w:rsidRPr="000920CF" w:rsidRDefault="00743ADF" w:rsidP="00743ADF">
            <w:pPr>
              <w:jc w:val="right"/>
              <w:rPr>
                <w:i/>
                <w:sz w:val="24"/>
                <w:szCs w:val="24"/>
              </w:rPr>
            </w:pPr>
            <w:r w:rsidRPr="000920CF">
              <w:rPr>
                <w:i/>
                <w:sz w:val="24"/>
                <w:szCs w:val="24"/>
              </w:rPr>
              <w:t>80.7</w:t>
            </w:r>
          </w:p>
        </w:tc>
        <w:tc>
          <w:tcPr>
            <w:tcW w:w="1170" w:type="dxa"/>
          </w:tcPr>
          <w:p w:rsidR="00743ADF" w:rsidRPr="000920CF" w:rsidRDefault="00743ADF" w:rsidP="00743ADF">
            <w:pPr>
              <w:jc w:val="right"/>
              <w:rPr>
                <w:i/>
                <w:sz w:val="24"/>
                <w:szCs w:val="24"/>
              </w:rPr>
            </w:pPr>
            <w:r w:rsidRPr="000920CF">
              <w:rPr>
                <w:i/>
                <w:sz w:val="24"/>
                <w:szCs w:val="24"/>
              </w:rPr>
              <w:t>0.030</w:t>
            </w:r>
          </w:p>
        </w:tc>
        <w:tc>
          <w:tcPr>
            <w:tcW w:w="900" w:type="dxa"/>
          </w:tcPr>
          <w:p w:rsidR="00743ADF" w:rsidRPr="000920CF" w:rsidRDefault="00743ADF" w:rsidP="00743ADF">
            <w:pPr>
              <w:jc w:val="right"/>
              <w:rPr>
                <w:i/>
                <w:sz w:val="24"/>
                <w:szCs w:val="24"/>
              </w:rPr>
            </w:pPr>
            <w:r w:rsidRPr="000920CF">
              <w:rPr>
                <w:i/>
                <w:sz w:val="24"/>
                <w:szCs w:val="24"/>
              </w:rPr>
              <w:t>0.053</w:t>
            </w:r>
          </w:p>
        </w:tc>
        <w:tc>
          <w:tcPr>
            <w:tcW w:w="1080" w:type="dxa"/>
          </w:tcPr>
          <w:p w:rsidR="00743ADF" w:rsidRPr="000920CF" w:rsidRDefault="00743ADF" w:rsidP="00743ADF">
            <w:pPr>
              <w:jc w:val="right"/>
              <w:rPr>
                <w:i/>
                <w:sz w:val="24"/>
                <w:szCs w:val="24"/>
              </w:rPr>
            </w:pPr>
            <w:r w:rsidRPr="000920CF">
              <w:rPr>
                <w:i/>
                <w:sz w:val="24"/>
                <w:szCs w:val="24"/>
              </w:rPr>
              <w:t>0.035</w:t>
            </w:r>
          </w:p>
        </w:tc>
        <w:tc>
          <w:tcPr>
            <w:tcW w:w="1080" w:type="dxa"/>
          </w:tcPr>
          <w:p w:rsidR="00743ADF" w:rsidRPr="000920CF" w:rsidRDefault="00A05AA7" w:rsidP="00743ADF">
            <w:pPr>
              <w:jc w:val="right"/>
              <w:rPr>
                <w:i/>
                <w:sz w:val="24"/>
                <w:szCs w:val="24"/>
              </w:rPr>
            </w:pPr>
            <w:r w:rsidRPr="000920CF">
              <w:rPr>
                <w:i/>
                <w:sz w:val="24"/>
                <w:szCs w:val="24"/>
              </w:rPr>
              <w:t>1,006</w:t>
            </w:r>
          </w:p>
        </w:tc>
        <w:tc>
          <w:tcPr>
            <w:tcW w:w="1170" w:type="dxa"/>
          </w:tcPr>
          <w:p w:rsidR="00743ADF" w:rsidRPr="000920CF" w:rsidRDefault="00A05AA7" w:rsidP="00743ADF">
            <w:pPr>
              <w:jc w:val="right"/>
              <w:rPr>
                <w:i/>
                <w:sz w:val="24"/>
                <w:szCs w:val="24"/>
              </w:rPr>
            </w:pPr>
            <w:r w:rsidRPr="000920CF">
              <w:rPr>
                <w:i/>
                <w:sz w:val="24"/>
                <w:szCs w:val="24"/>
              </w:rPr>
              <w:t>708</w:t>
            </w:r>
          </w:p>
        </w:tc>
      </w:tr>
      <w:tr w:rsidR="00743ADF" w:rsidRPr="000920CF" w:rsidTr="000920CF">
        <w:tc>
          <w:tcPr>
            <w:tcW w:w="2610" w:type="dxa"/>
          </w:tcPr>
          <w:p w:rsidR="00743ADF" w:rsidRPr="000920CF" w:rsidRDefault="00743ADF" w:rsidP="00743ADF">
            <w:pPr>
              <w:jc w:val="both"/>
              <w:rPr>
                <w:sz w:val="24"/>
                <w:szCs w:val="24"/>
              </w:rPr>
            </w:pPr>
            <w:r w:rsidRPr="000920CF">
              <w:rPr>
                <w:sz w:val="24"/>
                <w:szCs w:val="24"/>
              </w:rPr>
              <w:t>Total</w:t>
            </w:r>
          </w:p>
        </w:tc>
        <w:tc>
          <w:tcPr>
            <w:tcW w:w="1080" w:type="dxa"/>
          </w:tcPr>
          <w:p w:rsidR="00743ADF" w:rsidRPr="000920CF" w:rsidRDefault="00743ADF" w:rsidP="00743ADF">
            <w:pPr>
              <w:jc w:val="right"/>
              <w:rPr>
                <w:sz w:val="24"/>
                <w:szCs w:val="24"/>
              </w:rPr>
            </w:pPr>
            <w:r w:rsidRPr="000920CF">
              <w:rPr>
                <w:sz w:val="24"/>
                <w:szCs w:val="24"/>
              </w:rPr>
              <w:t>2,678.0</w:t>
            </w:r>
          </w:p>
        </w:tc>
        <w:tc>
          <w:tcPr>
            <w:tcW w:w="1170" w:type="dxa"/>
          </w:tcPr>
          <w:p w:rsidR="00743ADF" w:rsidRPr="000920CF" w:rsidRDefault="00743ADF" w:rsidP="00743ADF">
            <w:pPr>
              <w:jc w:val="right"/>
              <w:rPr>
                <w:sz w:val="24"/>
                <w:szCs w:val="24"/>
              </w:rPr>
            </w:pPr>
            <w:r w:rsidRPr="000920CF">
              <w:rPr>
                <w:sz w:val="24"/>
                <w:szCs w:val="24"/>
              </w:rPr>
              <w:t>1.000</w:t>
            </w:r>
          </w:p>
        </w:tc>
        <w:tc>
          <w:tcPr>
            <w:tcW w:w="900" w:type="dxa"/>
          </w:tcPr>
          <w:p w:rsidR="00743ADF" w:rsidRPr="000920CF" w:rsidRDefault="00743ADF" w:rsidP="00743ADF">
            <w:pPr>
              <w:jc w:val="right"/>
              <w:rPr>
                <w:sz w:val="24"/>
                <w:szCs w:val="24"/>
              </w:rPr>
            </w:pPr>
            <w:r w:rsidRPr="000920CF">
              <w:rPr>
                <w:sz w:val="24"/>
                <w:szCs w:val="24"/>
              </w:rPr>
              <w:t>1.000</w:t>
            </w:r>
          </w:p>
        </w:tc>
        <w:tc>
          <w:tcPr>
            <w:tcW w:w="1080" w:type="dxa"/>
          </w:tcPr>
          <w:p w:rsidR="00743ADF" w:rsidRPr="000920CF" w:rsidRDefault="00743ADF" w:rsidP="00743ADF">
            <w:pPr>
              <w:jc w:val="right"/>
              <w:rPr>
                <w:sz w:val="24"/>
                <w:szCs w:val="24"/>
              </w:rPr>
            </w:pPr>
            <w:r w:rsidRPr="000920CF">
              <w:rPr>
                <w:sz w:val="24"/>
                <w:szCs w:val="24"/>
              </w:rPr>
              <w:t>1.000</w:t>
            </w:r>
          </w:p>
        </w:tc>
        <w:tc>
          <w:tcPr>
            <w:tcW w:w="1080" w:type="dxa"/>
          </w:tcPr>
          <w:p w:rsidR="00743ADF" w:rsidRPr="000920CF" w:rsidRDefault="00A05AA7" w:rsidP="00743ADF">
            <w:pPr>
              <w:jc w:val="right"/>
              <w:rPr>
                <w:sz w:val="24"/>
                <w:szCs w:val="24"/>
              </w:rPr>
            </w:pPr>
            <w:r w:rsidRPr="000920CF">
              <w:rPr>
                <w:sz w:val="24"/>
                <w:szCs w:val="24"/>
              </w:rPr>
              <w:t>18,857</w:t>
            </w:r>
          </w:p>
        </w:tc>
        <w:tc>
          <w:tcPr>
            <w:tcW w:w="1170" w:type="dxa"/>
          </w:tcPr>
          <w:p w:rsidR="00743ADF" w:rsidRPr="000920CF" w:rsidRDefault="00A05AA7" w:rsidP="00743ADF">
            <w:pPr>
              <w:jc w:val="right"/>
              <w:rPr>
                <w:sz w:val="24"/>
                <w:szCs w:val="24"/>
              </w:rPr>
            </w:pPr>
            <w:r w:rsidRPr="000920CF">
              <w:rPr>
                <w:sz w:val="24"/>
                <w:szCs w:val="24"/>
              </w:rPr>
              <w:t>20,027</w:t>
            </w:r>
          </w:p>
        </w:tc>
      </w:tr>
    </w:tbl>
    <w:p w:rsidR="00323494" w:rsidRDefault="00323494" w:rsidP="00323494">
      <w:pPr>
        <w:ind w:left="720" w:hanging="720"/>
        <w:jc w:val="both"/>
        <w:rPr>
          <w:b/>
          <w:sz w:val="24"/>
          <w:szCs w:val="24"/>
          <w:u w:val="single"/>
        </w:rPr>
      </w:pPr>
    </w:p>
    <w:p w:rsidR="004A6B6A" w:rsidRPr="00AE6A69" w:rsidRDefault="004A6B6A" w:rsidP="004A6B6A">
      <w:pPr>
        <w:spacing w:line="480" w:lineRule="auto"/>
        <w:ind w:left="720" w:hanging="720"/>
        <w:jc w:val="both"/>
        <w:rPr>
          <w:b/>
          <w:sz w:val="24"/>
          <w:szCs w:val="24"/>
          <w:u w:val="single"/>
        </w:rPr>
      </w:pPr>
      <w:r>
        <w:rPr>
          <w:b/>
          <w:sz w:val="24"/>
          <w:szCs w:val="24"/>
          <w:u w:val="single"/>
        </w:rPr>
        <w:t xml:space="preserve">Functionalization of </w:t>
      </w:r>
      <w:r w:rsidRPr="00AE6A69">
        <w:rPr>
          <w:b/>
          <w:sz w:val="24"/>
          <w:szCs w:val="24"/>
          <w:u w:val="single"/>
        </w:rPr>
        <w:t>Account 930</w:t>
      </w:r>
      <w:r w:rsidR="002E712B">
        <w:rPr>
          <w:b/>
          <w:sz w:val="24"/>
          <w:szCs w:val="24"/>
          <w:u w:val="single"/>
        </w:rPr>
        <w:t>.</w:t>
      </w:r>
      <w:r w:rsidRPr="00AE6A69">
        <w:rPr>
          <w:b/>
          <w:sz w:val="24"/>
          <w:szCs w:val="24"/>
          <w:u w:val="single"/>
        </w:rPr>
        <w:t>2 – Miscellaneous General Expense</w:t>
      </w:r>
    </w:p>
    <w:p w:rsidR="004A6B6A" w:rsidRDefault="004A6B6A" w:rsidP="002E712B">
      <w:pPr>
        <w:spacing w:line="480" w:lineRule="auto"/>
        <w:ind w:left="720" w:hanging="720"/>
        <w:jc w:val="both"/>
        <w:rPr>
          <w:b/>
          <w:sz w:val="24"/>
          <w:szCs w:val="24"/>
        </w:rPr>
      </w:pPr>
      <w:r w:rsidRPr="00E65BFA">
        <w:rPr>
          <w:b/>
          <w:sz w:val="24"/>
          <w:szCs w:val="24"/>
        </w:rPr>
        <w:t>Q.</w:t>
      </w:r>
      <w:r w:rsidRPr="00E65BFA">
        <w:rPr>
          <w:b/>
          <w:sz w:val="24"/>
          <w:szCs w:val="24"/>
        </w:rPr>
        <w:tab/>
      </w:r>
      <w:r>
        <w:rPr>
          <w:b/>
          <w:sz w:val="24"/>
          <w:szCs w:val="24"/>
        </w:rPr>
        <w:t xml:space="preserve">What amount </w:t>
      </w:r>
      <w:r w:rsidR="00401AD9">
        <w:rPr>
          <w:b/>
          <w:sz w:val="24"/>
          <w:szCs w:val="24"/>
        </w:rPr>
        <w:t>in A</w:t>
      </w:r>
      <w:r w:rsidR="00E74B9B">
        <w:rPr>
          <w:b/>
          <w:sz w:val="24"/>
          <w:szCs w:val="24"/>
        </w:rPr>
        <w:t xml:space="preserve">ccount 930.2, </w:t>
      </w:r>
      <w:r>
        <w:rPr>
          <w:b/>
          <w:sz w:val="24"/>
          <w:szCs w:val="24"/>
        </w:rPr>
        <w:t>miscellaneous general expenses</w:t>
      </w:r>
      <w:r w:rsidR="00E74B9B">
        <w:rPr>
          <w:b/>
          <w:sz w:val="24"/>
          <w:szCs w:val="24"/>
        </w:rPr>
        <w:t>,</w:t>
      </w:r>
      <w:r>
        <w:rPr>
          <w:b/>
          <w:sz w:val="24"/>
          <w:szCs w:val="24"/>
        </w:rPr>
        <w:t xml:space="preserve"> </w:t>
      </w:r>
      <w:r w:rsidR="00E74B9B">
        <w:rPr>
          <w:b/>
          <w:sz w:val="24"/>
          <w:szCs w:val="24"/>
        </w:rPr>
        <w:t xml:space="preserve">is </w:t>
      </w:r>
      <w:r w:rsidR="00C8262C">
        <w:rPr>
          <w:b/>
          <w:sz w:val="24"/>
          <w:szCs w:val="24"/>
        </w:rPr>
        <w:t>CEHE</w:t>
      </w:r>
      <w:r>
        <w:rPr>
          <w:b/>
          <w:sz w:val="24"/>
          <w:szCs w:val="24"/>
        </w:rPr>
        <w:t xml:space="preserve"> request</w:t>
      </w:r>
      <w:r w:rsidR="00E74B9B">
        <w:rPr>
          <w:b/>
          <w:sz w:val="24"/>
          <w:szCs w:val="24"/>
        </w:rPr>
        <w:t>ing</w:t>
      </w:r>
      <w:r>
        <w:rPr>
          <w:b/>
          <w:sz w:val="24"/>
          <w:szCs w:val="24"/>
        </w:rPr>
        <w:t>?</w:t>
      </w:r>
    </w:p>
    <w:p w:rsidR="004A6B6A" w:rsidRPr="00E65BFA" w:rsidRDefault="004A6B6A" w:rsidP="004A6B6A">
      <w:pPr>
        <w:spacing w:line="480" w:lineRule="auto"/>
        <w:ind w:left="720" w:hanging="720"/>
        <w:jc w:val="both"/>
        <w:rPr>
          <w:sz w:val="24"/>
          <w:szCs w:val="24"/>
        </w:rPr>
      </w:pPr>
      <w:r w:rsidRPr="00E65BFA">
        <w:rPr>
          <w:sz w:val="24"/>
          <w:szCs w:val="24"/>
        </w:rPr>
        <w:t>A.</w:t>
      </w:r>
      <w:r w:rsidRPr="00E65BFA">
        <w:rPr>
          <w:sz w:val="24"/>
          <w:szCs w:val="24"/>
        </w:rPr>
        <w:tab/>
        <w:t>$146.2 million.</w:t>
      </w:r>
      <w:r>
        <w:rPr>
          <w:rStyle w:val="FootnoteReference"/>
          <w:sz w:val="24"/>
          <w:szCs w:val="24"/>
        </w:rPr>
        <w:footnoteReference w:id="58"/>
      </w:r>
      <w:r w:rsidR="009365E5">
        <w:rPr>
          <w:sz w:val="24"/>
          <w:szCs w:val="24"/>
        </w:rPr>
        <w:t xml:space="preserve">  </w:t>
      </w:r>
    </w:p>
    <w:p w:rsidR="004A6B6A" w:rsidRPr="0058643D" w:rsidRDefault="004A6B6A" w:rsidP="004A6B6A">
      <w:pPr>
        <w:spacing w:line="480" w:lineRule="auto"/>
        <w:jc w:val="both"/>
        <w:rPr>
          <w:b/>
          <w:sz w:val="24"/>
          <w:szCs w:val="24"/>
        </w:rPr>
      </w:pPr>
      <w:r>
        <w:rPr>
          <w:b/>
          <w:sz w:val="24"/>
          <w:szCs w:val="24"/>
        </w:rPr>
        <w:t>Q</w:t>
      </w:r>
      <w:r w:rsidRPr="0058643D">
        <w:rPr>
          <w:b/>
          <w:sz w:val="24"/>
          <w:szCs w:val="24"/>
        </w:rPr>
        <w:t>.</w:t>
      </w:r>
      <w:r w:rsidRPr="0058643D">
        <w:rPr>
          <w:b/>
          <w:sz w:val="24"/>
          <w:szCs w:val="24"/>
        </w:rPr>
        <w:tab/>
        <w:t>How does the Co</w:t>
      </w:r>
      <w:r w:rsidR="00401AD9">
        <w:rPr>
          <w:b/>
          <w:sz w:val="24"/>
          <w:szCs w:val="24"/>
        </w:rPr>
        <w:t>mpany propose to functionalize A</w:t>
      </w:r>
      <w:r w:rsidRPr="0058643D">
        <w:rPr>
          <w:b/>
          <w:sz w:val="24"/>
          <w:szCs w:val="24"/>
        </w:rPr>
        <w:t>ccount 930</w:t>
      </w:r>
      <w:r w:rsidR="0028727F">
        <w:rPr>
          <w:b/>
          <w:sz w:val="24"/>
          <w:szCs w:val="24"/>
        </w:rPr>
        <w:t>.</w:t>
      </w:r>
      <w:r w:rsidRPr="0058643D">
        <w:rPr>
          <w:b/>
          <w:sz w:val="24"/>
          <w:szCs w:val="24"/>
        </w:rPr>
        <w:t>2?</w:t>
      </w:r>
    </w:p>
    <w:p w:rsidR="004A6B6A" w:rsidRDefault="004A6B6A" w:rsidP="004A6B6A">
      <w:pPr>
        <w:spacing w:line="480" w:lineRule="auto"/>
        <w:ind w:left="720" w:hanging="720"/>
        <w:jc w:val="both"/>
        <w:rPr>
          <w:sz w:val="24"/>
          <w:szCs w:val="24"/>
        </w:rPr>
      </w:pPr>
      <w:r>
        <w:rPr>
          <w:sz w:val="24"/>
          <w:szCs w:val="24"/>
        </w:rPr>
        <w:t>A.</w:t>
      </w:r>
      <w:r>
        <w:rPr>
          <w:sz w:val="24"/>
          <w:szCs w:val="24"/>
        </w:rPr>
        <w:tab/>
      </w:r>
      <w:r w:rsidR="00C8262C">
        <w:rPr>
          <w:sz w:val="24"/>
          <w:szCs w:val="24"/>
        </w:rPr>
        <w:t>CEHE</w:t>
      </w:r>
      <w:r w:rsidR="0028727F">
        <w:rPr>
          <w:sz w:val="24"/>
          <w:szCs w:val="24"/>
        </w:rPr>
        <w:t xml:space="preserve"> functionalizes </w:t>
      </w:r>
      <w:r>
        <w:rPr>
          <w:sz w:val="24"/>
          <w:szCs w:val="24"/>
        </w:rPr>
        <w:t>$141 million of the expenses (96.4%) in proportion to payroll expense excluding administrative and general payroll expense (PAYXAG).</w:t>
      </w:r>
      <w:r>
        <w:rPr>
          <w:rStyle w:val="FootnoteReference"/>
          <w:sz w:val="24"/>
          <w:szCs w:val="24"/>
        </w:rPr>
        <w:footnoteReference w:id="59"/>
      </w:r>
      <w:r>
        <w:rPr>
          <w:sz w:val="24"/>
          <w:szCs w:val="24"/>
        </w:rPr>
        <w:t xml:space="preserve">  The remaining amount of $5.2 million (3.6%) is directly assigned to the customer service function.</w:t>
      </w:r>
      <w:r>
        <w:rPr>
          <w:rStyle w:val="FootnoteReference"/>
          <w:sz w:val="24"/>
          <w:szCs w:val="24"/>
        </w:rPr>
        <w:footnoteReference w:id="60"/>
      </w:r>
    </w:p>
    <w:p w:rsidR="00745E45" w:rsidRPr="00745E45" w:rsidRDefault="00745E45" w:rsidP="004A6B6A">
      <w:pPr>
        <w:spacing w:line="480" w:lineRule="auto"/>
        <w:ind w:left="720" w:hanging="720"/>
        <w:jc w:val="both"/>
        <w:rPr>
          <w:b/>
          <w:sz w:val="24"/>
          <w:szCs w:val="24"/>
        </w:rPr>
      </w:pPr>
      <w:r w:rsidRPr="00745E45">
        <w:rPr>
          <w:b/>
          <w:sz w:val="24"/>
          <w:szCs w:val="24"/>
        </w:rPr>
        <w:t>Q.</w:t>
      </w:r>
      <w:r w:rsidRPr="00745E45">
        <w:rPr>
          <w:b/>
          <w:sz w:val="24"/>
          <w:szCs w:val="24"/>
        </w:rPr>
        <w:tab/>
        <w:t xml:space="preserve">Has Staff recommended any adjustments to expenses </w:t>
      </w:r>
      <w:r w:rsidR="00401AD9">
        <w:rPr>
          <w:b/>
          <w:sz w:val="24"/>
          <w:szCs w:val="24"/>
        </w:rPr>
        <w:t>in A</w:t>
      </w:r>
      <w:r w:rsidRPr="00745E45">
        <w:rPr>
          <w:b/>
          <w:sz w:val="24"/>
          <w:szCs w:val="24"/>
        </w:rPr>
        <w:t>ccount 930.2?</w:t>
      </w:r>
    </w:p>
    <w:p w:rsidR="00745E45" w:rsidRDefault="00745E45" w:rsidP="004A6B6A">
      <w:pPr>
        <w:spacing w:line="480" w:lineRule="auto"/>
        <w:ind w:left="720" w:hanging="720"/>
        <w:jc w:val="both"/>
        <w:rPr>
          <w:sz w:val="24"/>
          <w:szCs w:val="24"/>
        </w:rPr>
      </w:pPr>
      <w:r>
        <w:rPr>
          <w:sz w:val="24"/>
          <w:szCs w:val="24"/>
        </w:rPr>
        <w:t>A.</w:t>
      </w:r>
      <w:r>
        <w:rPr>
          <w:sz w:val="24"/>
          <w:szCs w:val="24"/>
        </w:rPr>
        <w:tab/>
        <w:t>Yes.  Staff witnes</w:t>
      </w:r>
      <w:r w:rsidR="00C27994">
        <w:rPr>
          <w:sz w:val="24"/>
          <w:szCs w:val="24"/>
        </w:rPr>
        <w:t>s Filarowicz recommends that $21.2</w:t>
      </w:r>
      <w:r>
        <w:rPr>
          <w:sz w:val="24"/>
          <w:szCs w:val="24"/>
        </w:rPr>
        <w:t xml:space="preserve"> </w:t>
      </w:r>
      <w:r w:rsidRPr="00B62B74">
        <w:rPr>
          <w:sz w:val="24"/>
          <w:szCs w:val="24"/>
        </w:rPr>
        <w:t xml:space="preserve">million in </w:t>
      </w:r>
      <w:r w:rsidR="00C27994" w:rsidRPr="00B62B74">
        <w:rPr>
          <w:sz w:val="24"/>
          <w:szCs w:val="24"/>
        </w:rPr>
        <w:t>personnel-related</w:t>
      </w:r>
      <w:r>
        <w:rPr>
          <w:sz w:val="24"/>
          <w:szCs w:val="24"/>
        </w:rPr>
        <w:t xml:space="preserve"> expenses be disallowed.</w:t>
      </w:r>
      <w:r w:rsidR="00C27994">
        <w:rPr>
          <w:rStyle w:val="FootnoteReference"/>
          <w:sz w:val="24"/>
          <w:szCs w:val="24"/>
        </w:rPr>
        <w:footnoteReference w:id="61"/>
      </w:r>
    </w:p>
    <w:p w:rsidR="004A6B6A" w:rsidRPr="00FF7397" w:rsidRDefault="004A6B6A" w:rsidP="004A6B6A">
      <w:pPr>
        <w:spacing w:line="480" w:lineRule="auto"/>
        <w:ind w:left="720" w:hanging="720"/>
        <w:jc w:val="both"/>
        <w:rPr>
          <w:b/>
          <w:sz w:val="24"/>
          <w:szCs w:val="24"/>
        </w:rPr>
      </w:pPr>
      <w:r w:rsidRPr="00FF7397">
        <w:rPr>
          <w:b/>
          <w:sz w:val="24"/>
          <w:szCs w:val="24"/>
        </w:rPr>
        <w:t>Q.</w:t>
      </w:r>
      <w:r w:rsidRPr="00FF7397">
        <w:rPr>
          <w:b/>
          <w:sz w:val="24"/>
          <w:szCs w:val="24"/>
        </w:rPr>
        <w:tab/>
        <w:t xml:space="preserve">Do you support the Company’s </w:t>
      </w:r>
      <w:r w:rsidR="00631D68">
        <w:rPr>
          <w:b/>
          <w:sz w:val="24"/>
          <w:szCs w:val="24"/>
        </w:rPr>
        <w:t xml:space="preserve">functionalization </w:t>
      </w:r>
      <w:r w:rsidRPr="00FF7397">
        <w:rPr>
          <w:b/>
          <w:sz w:val="24"/>
          <w:szCs w:val="24"/>
        </w:rPr>
        <w:t>approach?</w:t>
      </w:r>
    </w:p>
    <w:p w:rsidR="004C63DB" w:rsidRDefault="004A6B6A" w:rsidP="004A6B6A">
      <w:pPr>
        <w:spacing w:line="480" w:lineRule="auto"/>
        <w:ind w:left="720" w:hanging="720"/>
        <w:jc w:val="both"/>
        <w:rPr>
          <w:sz w:val="24"/>
          <w:szCs w:val="24"/>
        </w:rPr>
      </w:pPr>
      <w:r>
        <w:rPr>
          <w:sz w:val="24"/>
          <w:szCs w:val="24"/>
        </w:rPr>
        <w:t>A.</w:t>
      </w:r>
      <w:r>
        <w:rPr>
          <w:sz w:val="24"/>
          <w:szCs w:val="24"/>
        </w:rPr>
        <w:tab/>
      </w:r>
      <w:r w:rsidR="004C63DB">
        <w:rPr>
          <w:sz w:val="24"/>
          <w:szCs w:val="24"/>
        </w:rPr>
        <w:t xml:space="preserve">In part, </w:t>
      </w:r>
      <w:r w:rsidR="00B42E94">
        <w:rPr>
          <w:sz w:val="24"/>
          <w:szCs w:val="24"/>
        </w:rPr>
        <w:t>yes;</w:t>
      </w:r>
      <w:r w:rsidR="004C63DB">
        <w:rPr>
          <w:sz w:val="24"/>
          <w:szCs w:val="24"/>
        </w:rPr>
        <w:t xml:space="preserve"> but</w:t>
      </w:r>
      <w:r w:rsidR="00AE0802">
        <w:rPr>
          <w:sz w:val="24"/>
          <w:szCs w:val="24"/>
        </w:rPr>
        <w:t>, not entirely.</w:t>
      </w:r>
    </w:p>
    <w:p w:rsidR="008926A9" w:rsidRDefault="004A6B6A" w:rsidP="002B6307">
      <w:pPr>
        <w:spacing w:line="480" w:lineRule="auto"/>
        <w:ind w:left="720" w:firstLine="720"/>
        <w:jc w:val="both"/>
        <w:rPr>
          <w:sz w:val="24"/>
          <w:szCs w:val="24"/>
        </w:rPr>
      </w:pPr>
      <w:r>
        <w:rPr>
          <w:sz w:val="24"/>
          <w:szCs w:val="24"/>
        </w:rPr>
        <w:lastRenderedPageBreak/>
        <w:t xml:space="preserve">With respect to the 3.6% portion of expenses directly assigned to customer service, I support the Company’s approach.  However, with respect to the $141 million </w:t>
      </w:r>
      <w:r w:rsidR="007A63D0">
        <w:rPr>
          <w:sz w:val="24"/>
          <w:szCs w:val="24"/>
        </w:rPr>
        <w:t>portion</w:t>
      </w:r>
      <w:r>
        <w:rPr>
          <w:sz w:val="24"/>
          <w:szCs w:val="24"/>
        </w:rPr>
        <w:t xml:space="preserve"> of the expenses, </w:t>
      </w:r>
      <w:r w:rsidR="008926A9">
        <w:rPr>
          <w:sz w:val="24"/>
          <w:szCs w:val="24"/>
        </w:rPr>
        <w:t>I recommend a more granular approach that is more reflective of cost causation</w:t>
      </w:r>
      <w:r w:rsidR="005A3219">
        <w:rPr>
          <w:sz w:val="24"/>
          <w:szCs w:val="24"/>
        </w:rPr>
        <w:t xml:space="preserve">, which is appropriate given </w:t>
      </w:r>
      <w:r w:rsidR="008926A9">
        <w:rPr>
          <w:sz w:val="24"/>
          <w:szCs w:val="24"/>
        </w:rPr>
        <w:t xml:space="preserve">the </w:t>
      </w:r>
      <w:r w:rsidR="00105914">
        <w:rPr>
          <w:sz w:val="24"/>
          <w:szCs w:val="24"/>
        </w:rPr>
        <w:t>magnitude</w:t>
      </w:r>
      <w:r w:rsidR="005A3219">
        <w:rPr>
          <w:sz w:val="24"/>
          <w:szCs w:val="24"/>
        </w:rPr>
        <w:t xml:space="preserve"> of the expenses</w:t>
      </w:r>
      <w:r w:rsidR="007412FC">
        <w:rPr>
          <w:sz w:val="24"/>
          <w:szCs w:val="24"/>
        </w:rPr>
        <w:t xml:space="preserve"> and the Filing Package instructions.</w:t>
      </w:r>
    </w:p>
    <w:p w:rsidR="008926A9" w:rsidRPr="00A15755" w:rsidRDefault="00A15755" w:rsidP="00A15755">
      <w:pPr>
        <w:spacing w:line="480" w:lineRule="auto"/>
        <w:ind w:left="720" w:hanging="720"/>
        <w:jc w:val="both"/>
        <w:rPr>
          <w:b/>
          <w:sz w:val="24"/>
          <w:szCs w:val="24"/>
        </w:rPr>
      </w:pPr>
      <w:r w:rsidRPr="00A15755">
        <w:rPr>
          <w:b/>
          <w:sz w:val="24"/>
          <w:szCs w:val="24"/>
        </w:rPr>
        <w:t>Q.</w:t>
      </w:r>
      <w:r w:rsidRPr="00A15755">
        <w:rPr>
          <w:b/>
          <w:sz w:val="24"/>
          <w:szCs w:val="24"/>
        </w:rPr>
        <w:tab/>
        <w:t xml:space="preserve">What is your general criticism of </w:t>
      </w:r>
      <w:r w:rsidR="00D20915">
        <w:rPr>
          <w:b/>
          <w:sz w:val="24"/>
          <w:szCs w:val="24"/>
        </w:rPr>
        <w:t>CEHE</w:t>
      </w:r>
      <w:r w:rsidRPr="00A15755">
        <w:rPr>
          <w:b/>
          <w:sz w:val="24"/>
          <w:szCs w:val="24"/>
        </w:rPr>
        <w:t>’s approach f</w:t>
      </w:r>
      <w:r w:rsidR="00401AD9">
        <w:rPr>
          <w:b/>
          <w:sz w:val="24"/>
          <w:szCs w:val="24"/>
        </w:rPr>
        <w:t>or the $141 million portion in A</w:t>
      </w:r>
      <w:r w:rsidRPr="00A15755">
        <w:rPr>
          <w:b/>
          <w:sz w:val="24"/>
          <w:szCs w:val="24"/>
        </w:rPr>
        <w:t>ccount 930.2 that was not directly assigned?</w:t>
      </w:r>
    </w:p>
    <w:p w:rsidR="00224E12" w:rsidRDefault="00A15755" w:rsidP="00A15755">
      <w:pPr>
        <w:spacing w:line="480" w:lineRule="auto"/>
        <w:ind w:left="720" w:hanging="720"/>
        <w:jc w:val="both"/>
        <w:rPr>
          <w:sz w:val="24"/>
          <w:szCs w:val="24"/>
        </w:rPr>
      </w:pPr>
      <w:r>
        <w:rPr>
          <w:sz w:val="24"/>
          <w:szCs w:val="24"/>
        </w:rPr>
        <w:t>A.</w:t>
      </w:r>
      <w:r>
        <w:rPr>
          <w:sz w:val="24"/>
          <w:szCs w:val="24"/>
        </w:rPr>
        <w:tab/>
      </w:r>
      <w:r w:rsidR="004A6B6A">
        <w:rPr>
          <w:sz w:val="24"/>
          <w:szCs w:val="24"/>
        </w:rPr>
        <w:t>The Company used</w:t>
      </w:r>
      <w:r w:rsidR="007A63D0">
        <w:rPr>
          <w:sz w:val="24"/>
          <w:szCs w:val="24"/>
        </w:rPr>
        <w:t xml:space="preserve"> the last-resort</w:t>
      </w:r>
      <w:r w:rsidR="004A6B6A">
        <w:rPr>
          <w:sz w:val="24"/>
          <w:szCs w:val="24"/>
        </w:rPr>
        <w:t xml:space="preserve"> functionalization basis provided in Schedule II-F of the Filing Package, </w:t>
      </w:r>
      <w:r>
        <w:rPr>
          <w:sz w:val="24"/>
          <w:szCs w:val="24"/>
        </w:rPr>
        <w:t>“PAYXAG</w:t>
      </w:r>
      <w:r w:rsidR="00B17DCD">
        <w:rPr>
          <w:sz w:val="24"/>
          <w:szCs w:val="24"/>
        </w:rPr>
        <w:t>,</w:t>
      </w:r>
      <w:r>
        <w:rPr>
          <w:sz w:val="24"/>
          <w:szCs w:val="24"/>
        </w:rPr>
        <w:t xml:space="preserve">” </w:t>
      </w:r>
      <w:r w:rsidR="009F2A93">
        <w:rPr>
          <w:sz w:val="24"/>
          <w:szCs w:val="24"/>
        </w:rPr>
        <w:t xml:space="preserve">instead of the more preferred approach.  </w:t>
      </w:r>
      <w:r w:rsidR="00D20915">
        <w:rPr>
          <w:sz w:val="24"/>
          <w:szCs w:val="24"/>
        </w:rPr>
        <w:t>The Company</w:t>
      </w:r>
      <w:r w:rsidR="009F2A93">
        <w:rPr>
          <w:sz w:val="24"/>
          <w:szCs w:val="24"/>
        </w:rPr>
        <w:t xml:space="preserve">’s approach </w:t>
      </w:r>
      <w:r w:rsidR="00722E0D">
        <w:rPr>
          <w:sz w:val="24"/>
          <w:szCs w:val="24"/>
        </w:rPr>
        <w:t>is not fully consistent with</w:t>
      </w:r>
      <w:r>
        <w:rPr>
          <w:sz w:val="24"/>
          <w:szCs w:val="24"/>
        </w:rPr>
        <w:t xml:space="preserve"> the nature of the </w:t>
      </w:r>
      <w:r w:rsidR="00670D1C">
        <w:rPr>
          <w:sz w:val="24"/>
          <w:szCs w:val="24"/>
        </w:rPr>
        <w:t xml:space="preserve">different </w:t>
      </w:r>
      <w:r>
        <w:rPr>
          <w:sz w:val="24"/>
          <w:szCs w:val="24"/>
        </w:rPr>
        <w:t>costs in th</w:t>
      </w:r>
      <w:r w:rsidR="00B4342C">
        <w:rPr>
          <w:sz w:val="24"/>
          <w:szCs w:val="24"/>
        </w:rPr>
        <w:t>e</w:t>
      </w:r>
      <w:r>
        <w:rPr>
          <w:sz w:val="24"/>
          <w:szCs w:val="24"/>
        </w:rPr>
        <w:t xml:space="preserve"> account</w:t>
      </w:r>
      <w:r w:rsidR="00EE7839">
        <w:rPr>
          <w:sz w:val="24"/>
          <w:szCs w:val="24"/>
        </w:rPr>
        <w:t>.</w:t>
      </w:r>
    </w:p>
    <w:p w:rsidR="007A63D0" w:rsidRDefault="004A6B6A" w:rsidP="00DC5B72">
      <w:pPr>
        <w:spacing w:line="480" w:lineRule="auto"/>
        <w:ind w:left="720" w:firstLine="720"/>
        <w:jc w:val="both"/>
        <w:rPr>
          <w:sz w:val="24"/>
          <w:szCs w:val="24"/>
        </w:rPr>
      </w:pPr>
      <w:r>
        <w:rPr>
          <w:sz w:val="24"/>
          <w:szCs w:val="24"/>
        </w:rPr>
        <w:t xml:space="preserve">PAYXAG would be an appropriate functionalization </w:t>
      </w:r>
      <w:r w:rsidR="003330BA">
        <w:rPr>
          <w:sz w:val="24"/>
          <w:szCs w:val="24"/>
        </w:rPr>
        <w:t xml:space="preserve">basis </w:t>
      </w:r>
      <w:r>
        <w:rPr>
          <w:sz w:val="24"/>
          <w:szCs w:val="24"/>
        </w:rPr>
        <w:t xml:space="preserve">if </w:t>
      </w:r>
      <w:r w:rsidR="003330BA">
        <w:rPr>
          <w:sz w:val="24"/>
          <w:szCs w:val="24"/>
        </w:rPr>
        <w:t>all the</w:t>
      </w:r>
      <w:r>
        <w:rPr>
          <w:sz w:val="24"/>
          <w:szCs w:val="24"/>
        </w:rPr>
        <w:t xml:space="preserve"> </w:t>
      </w:r>
      <w:r w:rsidR="00B4342C">
        <w:rPr>
          <w:sz w:val="24"/>
          <w:szCs w:val="24"/>
        </w:rPr>
        <w:t>expenses in A</w:t>
      </w:r>
      <w:r>
        <w:rPr>
          <w:sz w:val="24"/>
          <w:szCs w:val="24"/>
        </w:rPr>
        <w:t>ccount 930</w:t>
      </w:r>
      <w:r w:rsidR="007A63D0">
        <w:rPr>
          <w:sz w:val="24"/>
          <w:szCs w:val="24"/>
        </w:rPr>
        <w:t>.</w:t>
      </w:r>
      <w:r>
        <w:rPr>
          <w:sz w:val="24"/>
          <w:szCs w:val="24"/>
        </w:rPr>
        <w:t xml:space="preserve">2 vary in proportion to payroll expense.  As discussed below, </w:t>
      </w:r>
      <w:r w:rsidR="00DC5B72">
        <w:rPr>
          <w:sz w:val="24"/>
          <w:szCs w:val="24"/>
        </w:rPr>
        <w:t>a significant share of</w:t>
      </w:r>
      <w:r w:rsidR="00A15755">
        <w:rPr>
          <w:sz w:val="24"/>
          <w:szCs w:val="24"/>
        </w:rPr>
        <w:t xml:space="preserve"> </w:t>
      </w:r>
      <w:r w:rsidR="00DC5B72">
        <w:rPr>
          <w:sz w:val="24"/>
          <w:szCs w:val="24"/>
        </w:rPr>
        <w:t xml:space="preserve">the </w:t>
      </w:r>
      <w:r w:rsidR="00DC5B72" w:rsidRPr="00B965C3">
        <w:rPr>
          <w:sz w:val="24"/>
          <w:szCs w:val="24"/>
        </w:rPr>
        <w:t>expenses</w:t>
      </w:r>
      <w:r w:rsidR="00B965C3" w:rsidRPr="00B965C3">
        <w:rPr>
          <w:sz w:val="24"/>
          <w:szCs w:val="24"/>
        </w:rPr>
        <w:t xml:space="preserve"> </w:t>
      </w:r>
      <w:r w:rsidR="00B62B74">
        <w:rPr>
          <w:sz w:val="24"/>
          <w:szCs w:val="24"/>
        </w:rPr>
        <w:t xml:space="preserve">do not vary in proportion to </w:t>
      </w:r>
      <w:r w:rsidR="001551BF">
        <w:rPr>
          <w:sz w:val="24"/>
          <w:szCs w:val="24"/>
        </w:rPr>
        <w:t xml:space="preserve">payroll </w:t>
      </w:r>
      <w:r w:rsidR="00DC5B72">
        <w:rPr>
          <w:sz w:val="24"/>
          <w:szCs w:val="24"/>
        </w:rPr>
        <w:t>expense.</w:t>
      </w:r>
    </w:p>
    <w:p w:rsidR="004A6B6A" w:rsidRPr="00030E1C" w:rsidRDefault="004A6B6A" w:rsidP="004A6B6A">
      <w:pPr>
        <w:spacing w:line="480" w:lineRule="auto"/>
        <w:ind w:left="720" w:hanging="720"/>
        <w:jc w:val="both"/>
        <w:rPr>
          <w:b/>
          <w:sz w:val="24"/>
          <w:szCs w:val="24"/>
        </w:rPr>
      </w:pPr>
      <w:r w:rsidRPr="00030E1C">
        <w:rPr>
          <w:b/>
          <w:sz w:val="24"/>
          <w:szCs w:val="24"/>
        </w:rPr>
        <w:t>Q.</w:t>
      </w:r>
      <w:r w:rsidRPr="00030E1C">
        <w:rPr>
          <w:b/>
          <w:sz w:val="24"/>
          <w:szCs w:val="24"/>
        </w:rPr>
        <w:tab/>
      </w:r>
      <w:r>
        <w:rPr>
          <w:b/>
          <w:sz w:val="24"/>
          <w:szCs w:val="24"/>
        </w:rPr>
        <w:t xml:space="preserve">In </w:t>
      </w:r>
      <w:r w:rsidR="00FD4FCB">
        <w:rPr>
          <w:b/>
          <w:sz w:val="24"/>
          <w:szCs w:val="24"/>
        </w:rPr>
        <w:t>its application</w:t>
      </w:r>
      <w:r>
        <w:rPr>
          <w:b/>
          <w:sz w:val="24"/>
          <w:szCs w:val="24"/>
        </w:rPr>
        <w:t xml:space="preserve">, did </w:t>
      </w:r>
      <w:r w:rsidR="00C8262C">
        <w:rPr>
          <w:b/>
          <w:sz w:val="24"/>
          <w:szCs w:val="24"/>
        </w:rPr>
        <w:t>CEHE</w:t>
      </w:r>
      <w:r w:rsidRPr="00030E1C">
        <w:rPr>
          <w:b/>
          <w:sz w:val="24"/>
          <w:szCs w:val="24"/>
        </w:rPr>
        <w:t xml:space="preserve"> </w:t>
      </w:r>
      <w:r>
        <w:rPr>
          <w:b/>
          <w:sz w:val="24"/>
          <w:szCs w:val="24"/>
        </w:rPr>
        <w:t>provide an itemization of expenses</w:t>
      </w:r>
      <w:r w:rsidRPr="00030E1C">
        <w:rPr>
          <w:b/>
          <w:sz w:val="24"/>
          <w:szCs w:val="24"/>
        </w:rPr>
        <w:t>?</w:t>
      </w:r>
    </w:p>
    <w:p w:rsidR="004A6B6A" w:rsidRDefault="004A6B6A" w:rsidP="00E81E19">
      <w:pPr>
        <w:spacing w:line="480" w:lineRule="auto"/>
        <w:ind w:left="720" w:hanging="720"/>
        <w:jc w:val="both"/>
        <w:rPr>
          <w:sz w:val="24"/>
          <w:szCs w:val="24"/>
        </w:rPr>
      </w:pPr>
      <w:r>
        <w:rPr>
          <w:sz w:val="24"/>
          <w:szCs w:val="24"/>
        </w:rPr>
        <w:lastRenderedPageBreak/>
        <w:t>A.</w:t>
      </w:r>
      <w:r>
        <w:rPr>
          <w:sz w:val="24"/>
          <w:szCs w:val="24"/>
        </w:rPr>
        <w:tab/>
        <w:t>Yes</w:t>
      </w:r>
      <w:r w:rsidR="00B75441">
        <w:rPr>
          <w:sz w:val="24"/>
          <w:szCs w:val="24"/>
        </w:rPr>
        <w:t>.</w:t>
      </w:r>
      <w:r w:rsidR="00892C95">
        <w:rPr>
          <w:rStyle w:val="FootnoteReference"/>
          <w:sz w:val="24"/>
          <w:szCs w:val="24"/>
        </w:rPr>
        <w:footnoteReference w:id="62"/>
      </w:r>
      <w:r w:rsidR="001D6A94">
        <w:rPr>
          <w:sz w:val="24"/>
          <w:szCs w:val="24"/>
        </w:rPr>
        <w:t xml:space="preserve">  </w:t>
      </w:r>
      <w:r w:rsidR="0092278F">
        <w:rPr>
          <w:sz w:val="24"/>
          <w:szCs w:val="24"/>
        </w:rPr>
        <w:t>To facilitate a more</w:t>
      </w:r>
      <w:r w:rsidR="00401AD9">
        <w:rPr>
          <w:sz w:val="24"/>
          <w:szCs w:val="24"/>
        </w:rPr>
        <w:t xml:space="preserve"> granular functionalization of A</w:t>
      </w:r>
      <w:r w:rsidR="0092278F">
        <w:rPr>
          <w:sz w:val="24"/>
          <w:szCs w:val="24"/>
        </w:rPr>
        <w:t xml:space="preserve">ccount 930.2, </w:t>
      </w:r>
      <w:r w:rsidR="009775D6">
        <w:rPr>
          <w:sz w:val="24"/>
          <w:szCs w:val="24"/>
        </w:rPr>
        <w:t xml:space="preserve">I </w:t>
      </w:r>
      <w:r w:rsidR="001D6A94">
        <w:rPr>
          <w:sz w:val="24"/>
          <w:szCs w:val="24"/>
        </w:rPr>
        <w:t>grouped</w:t>
      </w:r>
      <w:r w:rsidR="00DE2152">
        <w:rPr>
          <w:sz w:val="24"/>
          <w:szCs w:val="24"/>
        </w:rPr>
        <w:t xml:space="preserve"> the expenses </w:t>
      </w:r>
      <w:r w:rsidR="009775D6">
        <w:rPr>
          <w:sz w:val="24"/>
          <w:szCs w:val="24"/>
        </w:rPr>
        <w:t>into t</w:t>
      </w:r>
      <w:r w:rsidR="00C12449">
        <w:rPr>
          <w:sz w:val="24"/>
          <w:szCs w:val="24"/>
        </w:rPr>
        <w:t>hree</w:t>
      </w:r>
      <w:r w:rsidR="009775D6">
        <w:rPr>
          <w:sz w:val="24"/>
          <w:szCs w:val="24"/>
        </w:rPr>
        <w:t xml:space="preserve"> </w:t>
      </w:r>
      <w:r w:rsidR="00C12449">
        <w:rPr>
          <w:sz w:val="24"/>
          <w:szCs w:val="24"/>
        </w:rPr>
        <w:t>categories</w:t>
      </w:r>
      <w:r w:rsidR="00B616C3">
        <w:rPr>
          <w:sz w:val="24"/>
          <w:szCs w:val="24"/>
        </w:rPr>
        <w:t xml:space="preserve"> </w:t>
      </w:r>
      <w:r w:rsidR="00604152">
        <w:rPr>
          <w:sz w:val="24"/>
          <w:szCs w:val="24"/>
        </w:rPr>
        <w:t>using</w:t>
      </w:r>
      <w:r w:rsidR="00B616C3">
        <w:rPr>
          <w:sz w:val="24"/>
          <w:szCs w:val="24"/>
        </w:rPr>
        <w:t xml:space="preserve"> </w:t>
      </w:r>
      <w:r w:rsidR="00604152">
        <w:rPr>
          <w:sz w:val="24"/>
          <w:szCs w:val="24"/>
        </w:rPr>
        <w:t>the expenses shown</w:t>
      </w:r>
      <w:r w:rsidR="00B616C3">
        <w:rPr>
          <w:sz w:val="24"/>
          <w:szCs w:val="24"/>
        </w:rPr>
        <w:t xml:space="preserve"> in the Trial Balance workpaper to the Company’s Filing Package</w:t>
      </w:r>
      <w:r w:rsidR="009775D6">
        <w:rPr>
          <w:sz w:val="24"/>
          <w:szCs w:val="24"/>
        </w:rPr>
        <w:t xml:space="preserve">:  (1) </w:t>
      </w:r>
      <w:r w:rsidR="00C12449">
        <w:rPr>
          <w:sz w:val="24"/>
          <w:szCs w:val="24"/>
        </w:rPr>
        <w:t xml:space="preserve">support </w:t>
      </w:r>
      <w:r w:rsidR="009775D6">
        <w:rPr>
          <w:sz w:val="24"/>
          <w:szCs w:val="24"/>
        </w:rPr>
        <w:t xml:space="preserve">services </w:t>
      </w:r>
      <w:r w:rsidR="00C12449">
        <w:rPr>
          <w:sz w:val="24"/>
          <w:szCs w:val="24"/>
        </w:rPr>
        <w:t>provided to</w:t>
      </w:r>
      <w:r w:rsidR="00750087">
        <w:rPr>
          <w:sz w:val="24"/>
          <w:szCs w:val="24"/>
        </w:rPr>
        <w:t xml:space="preserve"> </w:t>
      </w:r>
      <w:r w:rsidR="00C8262C">
        <w:rPr>
          <w:sz w:val="24"/>
          <w:szCs w:val="24"/>
        </w:rPr>
        <w:t>CEHE</w:t>
      </w:r>
      <w:r w:rsidR="00C12449">
        <w:rPr>
          <w:sz w:val="24"/>
          <w:szCs w:val="24"/>
        </w:rPr>
        <w:t>’s</w:t>
      </w:r>
      <w:r w:rsidR="009775D6">
        <w:rPr>
          <w:sz w:val="24"/>
          <w:szCs w:val="24"/>
        </w:rPr>
        <w:t xml:space="preserve"> </w:t>
      </w:r>
      <w:r w:rsidR="00C12449">
        <w:rPr>
          <w:sz w:val="24"/>
          <w:szCs w:val="24"/>
        </w:rPr>
        <w:t>staff</w:t>
      </w:r>
      <w:r w:rsidR="009775D6">
        <w:rPr>
          <w:sz w:val="24"/>
          <w:szCs w:val="24"/>
        </w:rPr>
        <w:t xml:space="preserve"> (</w:t>
      </w:r>
      <w:r w:rsidR="00C12449">
        <w:rPr>
          <w:sz w:val="24"/>
          <w:szCs w:val="24"/>
        </w:rPr>
        <w:t xml:space="preserve">e.g., </w:t>
      </w:r>
      <w:r w:rsidR="009775D6">
        <w:rPr>
          <w:sz w:val="24"/>
          <w:szCs w:val="24"/>
        </w:rPr>
        <w:t>fina</w:t>
      </w:r>
      <w:r w:rsidR="00C12449">
        <w:rPr>
          <w:sz w:val="24"/>
          <w:szCs w:val="24"/>
        </w:rPr>
        <w:t>nce, HR, legal, regulatory</w:t>
      </w:r>
      <w:r w:rsidR="009775D6">
        <w:rPr>
          <w:sz w:val="24"/>
          <w:szCs w:val="24"/>
        </w:rPr>
        <w:t xml:space="preserve">), </w:t>
      </w:r>
      <w:r w:rsidR="009775D6" w:rsidRPr="00C12449">
        <w:rPr>
          <w:sz w:val="24"/>
          <w:szCs w:val="24"/>
        </w:rPr>
        <w:t xml:space="preserve">(2) </w:t>
      </w:r>
      <w:r w:rsidR="00C00DB5" w:rsidRPr="00C12449">
        <w:rPr>
          <w:sz w:val="24"/>
          <w:szCs w:val="24"/>
        </w:rPr>
        <w:t xml:space="preserve">Technology Operations </w:t>
      </w:r>
      <w:r w:rsidR="00C12449" w:rsidRPr="00C12449">
        <w:rPr>
          <w:sz w:val="24"/>
          <w:szCs w:val="24"/>
        </w:rPr>
        <w:t xml:space="preserve">expenses, </w:t>
      </w:r>
      <w:r w:rsidR="00C00DB5" w:rsidRPr="00C12449">
        <w:rPr>
          <w:sz w:val="24"/>
          <w:szCs w:val="24"/>
        </w:rPr>
        <w:t xml:space="preserve">and </w:t>
      </w:r>
      <w:r w:rsidR="00C12449" w:rsidRPr="00C12449">
        <w:rPr>
          <w:sz w:val="24"/>
          <w:szCs w:val="24"/>
        </w:rPr>
        <w:t xml:space="preserve">(3) </w:t>
      </w:r>
      <w:r w:rsidR="00C00DB5" w:rsidRPr="00C12449">
        <w:rPr>
          <w:sz w:val="24"/>
          <w:szCs w:val="24"/>
        </w:rPr>
        <w:t>Telecommunications service</w:t>
      </w:r>
      <w:r w:rsidR="00C12449" w:rsidRPr="00C12449">
        <w:rPr>
          <w:sz w:val="24"/>
          <w:szCs w:val="24"/>
        </w:rPr>
        <w:t xml:space="preserve"> expenses</w:t>
      </w:r>
      <w:r w:rsidR="00C00DB5" w:rsidRPr="00C12449">
        <w:rPr>
          <w:sz w:val="24"/>
          <w:szCs w:val="24"/>
        </w:rPr>
        <w:t>.</w:t>
      </w:r>
      <w:r w:rsidR="00E81E19">
        <w:rPr>
          <w:sz w:val="24"/>
          <w:szCs w:val="24"/>
        </w:rPr>
        <w:t xml:space="preserve">  </w:t>
      </w:r>
      <w:r w:rsidR="00C00DB5">
        <w:rPr>
          <w:sz w:val="24"/>
          <w:szCs w:val="24"/>
        </w:rPr>
        <w:t xml:space="preserve">The grouped expenses </w:t>
      </w:r>
      <w:r w:rsidR="000C66F9">
        <w:rPr>
          <w:sz w:val="24"/>
          <w:szCs w:val="24"/>
        </w:rPr>
        <w:t>are as follows</w:t>
      </w:r>
      <w:r w:rsidR="00B616C3">
        <w:rPr>
          <w:sz w:val="24"/>
          <w:szCs w:val="24"/>
        </w:rPr>
        <w:t>,</w:t>
      </w:r>
      <w:r w:rsidR="000C66F9">
        <w:rPr>
          <w:sz w:val="24"/>
          <w:szCs w:val="24"/>
        </w:rPr>
        <w:t xml:space="preserve"> and </w:t>
      </w:r>
      <w:r w:rsidR="00B616C3">
        <w:rPr>
          <w:sz w:val="24"/>
          <w:szCs w:val="24"/>
        </w:rPr>
        <w:t xml:space="preserve">more detailed information </w:t>
      </w:r>
      <w:r w:rsidR="00C00DB5">
        <w:rPr>
          <w:sz w:val="24"/>
          <w:szCs w:val="24"/>
        </w:rPr>
        <w:t xml:space="preserve">can be </w:t>
      </w:r>
      <w:r w:rsidR="00584305">
        <w:rPr>
          <w:sz w:val="24"/>
          <w:szCs w:val="24"/>
        </w:rPr>
        <w:t xml:space="preserve">found in my </w:t>
      </w:r>
      <w:r w:rsidR="00C00DB5">
        <w:rPr>
          <w:sz w:val="24"/>
          <w:szCs w:val="24"/>
        </w:rPr>
        <w:t>electronic workpapers</w:t>
      </w:r>
      <w:r w:rsidR="00B616C3">
        <w:rPr>
          <w:sz w:val="24"/>
          <w:szCs w:val="24"/>
        </w:rPr>
        <w:t>:</w:t>
      </w:r>
      <w:r w:rsidR="0039647F">
        <w:rPr>
          <w:rStyle w:val="FootnoteReference"/>
          <w:sz w:val="24"/>
          <w:szCs w:val="24"/>
        </w:rPr>
        <w:footnoteReference w:id="63"/>
      </w:r>
    </w:p>
    <w:p w:rsidR="00F944AE" w:rsidRDefault="00F944AE" w:rsidP="00E81E19">
      <w:pPr>
        <w:spacing w:line="480" w:lineRule="auto"/>
        <w:ind w:left="720" w:hanging="720"/>
        <w:jc w:val="both"/>
        <w:rPr>
          <w:sz w:val="24"/>
          <w:szCs w:val="24"/>
        </w:rPr>
      </w:pPr>
      <w:r>
        <w:rPr>
          <w:sz w:val="24"/>
          <w:szCs w:val="24"/>
        </w:rPr>
        <w:tab/>
        <w:t>Table BTM-4</w:t>
      </w:r>
      <w:r>
        <w:rPr>
          <w:sz w:val="24"/>
          <w:szCs w:val="24"/>
        </w:rPr>
        <w:tab/>
      </w:r>
      <w:r>
        <w:rPr>
          <w:sz w:val="24"/>
          <w:szCs w:val="24"/>
        </w:rPr>
        <w:tab/>
        <w:t>Grouping of Expenses in Account 930.2</w:t>
      </w:r>
    </w:p>
    <w:tbl>
      <w:tblPr>
        <w:tblStyle w:val="TableGrid"/>
        <w:tblW w:w="7920" w:type="dxa"/>
        <w:tblInd w:w="715" w:type="dxa"/>
        <w:tblLook w:val="04A0" w:firstRow="1" w:lastRow="0" w:firstColumn="1" w:lastColumn="0" w:noHBand="0" w:noVBand="1"/>
      </w:tblPr>
      <w:tblGrid>
        <w:gridCol w:w="6210"/>
        <w:gridCol w:w="1710"/>
      </w:tblGrid>
      <w:tr w:rsidR="00B616C3" w:rsidTr="00B616C3">
        <w:tc>
          <w:tcPr>
            <w:tcW w:w="6210" w:type="dxa"/>
          </w:tcPr>
          <w:p w:rsidR="00B616C3" w:rsidRPr="00B616C3" w:rsidRDefault="00B616C3" w:rsidP="00B616C3">
            <w:pPr>
              <w:jc w:val="both"/>
              <w:rPr>
                <w:sz w:val="24"/>
                <w:szCs w:val="24"/>
                <w:u w:val="single"/>
              </w:rPr>
            </w:pPr>
            <w:r w:rsidRPr="00B616C3">
              <w:rPr>
                <w:sz w:val="24"/>
                <w:szCs w:val="24"/>
                <w:u w:val="single"/>
              </w:rPr>
              <w:t>Group</w:t>
            </w:r>
          </w:p>
        </w:tc>
        <w:tc>
          <w:tcPr>
            <w:tcW w:w="1710" w:type="dxa"/>
          </w:tcPr>
          <w:p w:rsidR="00B616C3" w:rsidRDefault="00B616C3" w:rsidP="00B616C3">
            <w:pPr>
              <w:jc w:val="both"/>
              <w:rPr>
                <w:sz w:val="24"/>
                <w:szCs w:val="24"/>
              </w:rPr>
            </w:pPr>
          </w:p>
        </w:tc>
      </w:tr>
      <w:tr w:rsidR="00B616C3" w:rsidTr="00B616C3">
        <w:tc>
          <w:tcPr>
            <w:tcW w:w="6210" w:type="dxa"/>
          </w:tcPr>
          <w:p w:rsidR="00B616C3" w:rsidRDefault="00EB5A01" w:rsidP="00722E0D">
            <w:pPr>
              <w:jc w:val="both"/>
              <w:rPr>
                <w:sz w:val="24"/>
                <w:szCs w:val="24"/>
              </w:rPr>
            </w:pPr>
            <w:r>
              <w:rPr>
                <w:sz w:val="24"/>
                <w:szCs w:val="24"/>
              </w:rPr>
              <w:t xml:space="preserve">1. </w:t>
            </w:r>
            <w:r w:rsidR="006D227E">
              <w:rPr>
                <w:sz w:val="24"/>
                <w:szCs w:val="24"/>
              </w:rPr>
              <w:t xml:space="preserve">Staff-adjusted </w:t>
            </w:r>
            <w:r w:rsidR="00971CD4">
              <w:rPr>
                <w:sz w:val="24"/>
                <w:szCs w:val="24"/>
              </w:rPr>
              <w:t xml:space="preserve">Support Services to </w:t>
            </w:r>
            <w:r w:rsidR="00C8262C">
              <w:rPr>
                <w:sz w:val="24"/>
                <w:szCs w:val="24"/>
              </w:rPr>
              <w:t>CEHE</w:t>
            </w:r>
            <w:r w:rsidR="003041C3">
              <w:rPr>
                <w:sz w:val="24"/>
                <w:szCs w:val="24"/>
              </w:rPr>
              <w:t xml:space="preserve"> staff</w:t>
            </w:r>
            <w:r w:rsidR="00722E0D">
              <w:rPr>
                <w:rStyle w:val="FootnoteReference"/>
                <w:sz w:val="24"/>
                <w:szCs w:val="24"/>
              </w:rPr>
              <w:footnoteReference w:id="64"/>
            </w:r>
          </w:p>
        </w:tc>
        <w:tc>
          <w:tcPr>
            <w:tcW w:w="1710" w:type="dxa"/>
          </w:tcPr>
          <w:p w:rsidR="00B616C3" w:rsidRDefault="00B616C3" w:rsidP="00B616C3">
            <w:pPr>
              <w:jc w:val="both"/>
              <w:rPr>
                <w:sz w:val="24"/>
                <w:szCs w:val="24"/>
              </w:rPr>
            </w:pPr>
            <w:r>
              <w:rPr>
                <w:sz w:val="24"/>
                <w:szCs w:val="24"/>
              </w:rPr>
              <w:t>$</w:t>
            </w:r>
            <w:r w:rsidRPr="00B616C3">
              <w:rPr>
                <w:sz w:val="24"/>
                <w:szCs w:val="24"/>
              </w:rPr>
              <w:t>79,242,055</w:t>
            </w:r>
          </w:p>
        </w:tc>
      </w:tr>
      <w:tr w:rsidR="00B616C3" w:rsidTr="00B616C3">
        <w:tc>
          <w:tcPr>
            <w:tcW w:w="6210" w:type="dxa"/>
          </w:tcPr>
          <w:p w:rsidR="00B616C3" w:rsidRDefault="00EB5A01" w:rsidP="00B616C3">
            <w:pPr>
              <w:jc w:val="both"/>
              <w:rPr>
                <w:sz w:val="24"/>
                <w:szCs w:val="24"/>
              </w:rPr>
            </w:pPr>
            <w:r>
              <w:rPr>
                <w:sz w:val="24"/>
                <w:szCs w:val="24"/>
              </w:rPr>
              <w:t xml:space="preserve">2. </w:t>
            </w:r>
            <w:r w:rsidR="00B616C3">
              <w:rPr>
                <w:sz w:val="24"/>
                <w:szCs w:val="24"/>
              </w:rPr>
              <w:t xml:space="preserve">Technology Operations </w:t>
            </w:r>
            <w:r w:rsidR="00EB355F">
              <w:rPr>
                <w:sz w:val="24"/>
                <w:szCs w:val="24"/>
              </w:rPr>
              <w:t xml:space="preserve">expense </w:t>
            </w:r>
            <w:r w:rsidR="00B616C3">
              <w:rPr>
                <w:sz w:val="24"/>
                <w:szCs w:val="24"/>
              </w:rPr>
              <w:t>in Account 930.2</w:t>
            </w:r>
          </w:p>
        </w:tc>
        <w:tc>
          <w:tcPr>
            <w:tcW w:w="1710" w:type="dxa"/>
          </w:tcPr>
          <w:p w:rsidR="00B616C3" w:rsidRDefault="00B616C3" w:rsidP="00B616C3">
            <w:pPr>
              <w:jc w:val="both"/>
              <w:rPr>
                <w:sz w:val="24"/>
                <w:szCs w:val="24"/>
              </w:rPr>
            </w:pPr>
            <w:r>
              <w:rPr>
                <w:sz w:val="24"/>
                <w:szCs w:val="24"/>
              </w:rPr>
              <w:t>$</w:t>
            </w:r>
            <w:r w:rsidRPr="00B616C3">
              <w:rPr>
                <w:sz w:val="24"/>
                <w:szCs w:val="24"/>
              </w:rPr>
              <w:t>29,527,374</w:t>
            </w:r>
          </w:p>
        </w:tc>
      </w:tr>
      <w:tr w:rsidR="00B616C3" w:rsidTr="00B616C3">
        <w:tc>
          <w:tcPr>
            <w:tcW w:w="6210" w:type="dxa"/>
          </w:tcPr>
          <w:p w:rsidR="00B616C3" w:rsidRDefault="00EB5A01" w:rsidP="00B616C3">
            <w:pPr>
              <w:jc w:val="both"/>
              <w:rPr>
                <w:sz w:val="24"/>
                <w:szCs w:val="24"/>
              </w:rPr>
            </w:pPr>
            <w:r>
              <w:rPr>
                <w:sz w:val="24"/>
                <w:szCs w:val="24"/>
              </w:rPr>
              <w:t xml:space="preserve">3. </w:t>
            </w:r>
            <w:r w:rsidR="00B616C3">
              <w:rPr>
                <w:sz w:val="24"/>
                <w:szCs w:val="24"/>
              </w:rPr>
              <w:t>Telecommunications Services</w:t>
            </w:r>
          </w:p>
        </w:tc>
        <w:tc>
          <w:tcPr>
            <w:tcW w:w="1710" w:type="dxa"/>
          </w:tcPr>
          <w:p w:rsidR="00B616C3" w:rsidRDefault="00B616C3" w:rsidP="00B616C3">
            <w:pPr>
              <w:jc w:val="both"/>
              <w:rPr>
                <w:sz w:val="24"/>
                <w:szCs w:val="24"/>
              </w:rPr>
            </w:pPr>
            <w:r>
              <w:rPr>
                <w:sz w:val="24"/>
                <w:szCs w:val="24"/>
              </w:rPr>
              <w:t>$</w:t>
            </w:r>
            <w:r w:rsidRPr="00B616C3">
              <w:rPr>
                <w:sz w:val="24"/>
                <w:szCs w:val="24"/>
              </w:rPr>
              <w:t>15,135,947</w:t>
            </w:r>
          </w:p>
        </w:tc>
      </w:tr>
      <w:tr w:rsidR="00B616C3" w:rsidTr="00B616C3">
        <w:tc>
          <w:tcPr>
            <w:tcW w:w="6210" w:type="dxa"/>
          </w:tcPr>
          <w:p w:rsidR="00B616C3" w:rsidRDefault="00AF4AE9" w:rsidP="00740BEB">
            <w:pPr>
              <w:rPr>
                <w:sz w:val="24"/>
                <w:szCs w:val="24"/>
              </w:rPr>
            </w:pPr>
            <w:r>
              <w:rPr>
                <w:sz w:val="24"/>
                <w:szCs w:val="24"/>
              </w:rPr>
              <w:t xml:space="preserve">Staff-adjusted </w:t>
            </w:r>
            <w:r w:rsidR="006D227E">
              <w:rPr>
                <w:sz w:val="24"/>
                <w:szCs w:val="24"/>
              </w:rPr>
              <w:t>A</w:t>
            </w:r>
            <w:r w:rsidR="00B616C3">
              <w:rPr>
                <w:sz w:val="24"/>
                <w:szCs w:val="24"/>
              </w:rPr>
              <w:t>ccount 930.2 in “Trial Balance” WP</w:t>
            </w:r>
          </w:p>
        </w:tc>
        <w:tc>
          <w:tcPr>
            <w:tcW w:w="1710" w:type="dxa"/>
          </w:tcPr>
          <w:p w:rsidR="00B616C3" w:rsidRDefault="00B616C3" w:rsidP="00740BEB">
            <w:pPr>
              <w:rPr>
                <w:sz w:val="24"/>
                <w:szCs w:val="24"/>
              </w:rPr>
            </w:pPr>
            <w:r>
              <w:rPr>
                <w:sz w:val="24"/>
                <w:szCs w:val="24"/>
              </w:rPr>
              <w:t>$</w:t>
            </w:r>
            <w:r w:rsidRPr="00B616C3">
              <w:rPr>
                <w:sz w:val="24"/>
                <w:szCs w:val="24"/>
              </w:rPr>
              <w:t>123,905,376</w:t>
            </w:r>
          </w:p>
        </w:tc>
      </w:tr>
      <w:tr w:rsidR="00B616C3" w:rsidTr="00B616C3">
        <w:tc>
          <w:tcPr>
            <w:tcW w:w="7920" w:type="dxa"/>
            <w:gridSpan w:val="2"/>
          </w:tcPr>
          <w:p w:rsidR="00B616C3" w:rsidRPr="00B616C3" w:rsidRDefault="00B616C3" w:rsidP="00A51E5D">
            <w:pPr>
              <w:jc w:val="both"/>
            </w:pPr>
            <w:r w:rsidRPr="00B616C3">
              <w:t xml:space="preserve">Source:  </w:t>
            </w:r>
            <w:r w:rsidR="00A51E5D" w:rsidRPr="00A51E5D">
              <w:t>Workpaper “CEHE RFP workpapers.XLS,” at worksheet TB Year to Date</w:t>
            </w:r>
            <w:r w:rsidR="00A51E5D">
              <w:t>.</w:t>
            </w:r>
          </w:p>
        </w:tc>
      </w:tr>
    </w:tbl>
    <w:p w:rsidR="005B37AE" w:rsidRDefault="005B37AE" w:rsidP="005B37AE">
      <w:pPr>
        <w:ind w:left="720" w:hanging="720"/>
        <w:jc w:val="both"/>
        <w:rPr>
          <w:b/>
          <w:sz w:val="24"/>
          <w:szCs w:val="24"/>
        </w:rPr>
      </w:pPr>
    </w:p>
    <w:p w:rsidR="001D6A94" w:rsidRDefault="001D6A94" w:rsidP="001D6A94">
      <w:pPr>
        <w:spacing w:line="480" w:lineRule="auto"/>
        <w:ind w:left="720" w:hanging="720"/>
        <w:jc w:val="both"/>
        <w:rPr>
          <w:b/>
          <w:sz w:val="24"/>
          <w:szCs w:val="24"/>
        </w:rPr>
      </w:pPr>
      <w:r w:rsidRPr="001D6A94">
        <w:rPr>
          <w:b/>
          <w:sz w:val="24"/>
          <w:szCs w:val="24"/>
        </w:rPr>
        <w:t>Q.</w:t>
      </w:r>
      <w:r w:rsidRPr="001D6A94">
        <w:rPr>
          <w:b/>
          <w:sz w:val="24"/>
          <w:szCs w:val="24"/>
        </w:rPr>
        <w:tab/>
      </w:r>
      <w:r w:rsidR="005901EF">
        <w:rPr>
          <w:b/>
          <w:sz w:val="24"/>
          <w:szCs w:val="24"/>
        </w:rPr>
        <w:t>W</w:t>
      </w:r>
      <w:r w:rsidR="003041C3">
        <w:rPr>
          <w:b/>
          <w:sz w:val="24"/>
          <w:szCs w:val="24"/>
        </w:rPr>
        <w:t xml:space="preserve">ith respect to the first group, support services to </w:t>
      </w:r>
      <w:r w:rsidR="00C8262C">
        <w:rPr>
          <w:b/>
          <w:sz w:val="24"/>
          <w:szCs w:val="24"/>
        </w:rPr>
        <w:t>CEHE</w:t>
      </w:r>
      <w:r w:rsidR="003041C3">
        <w:rPr>
          <w:b/>
          <w:sz w:val="24"/>
          <w:szCs w:val="24"/>
        </w:rPr>
        <w:t xml:space="preserve"> staff, </w:t>
      </w:r>
      <w:r w:rsidR="005901EF">
        <w:rPr>
          <w:b/>
          <w:sz w:val="24"/>
          <w:szCs w:val="24"/>
        </w:rPr>
        <w:t>h</w:t>
      </w:r>
      <w:r w:rsidR="005B37AE">
        <w:rPr>
          <w:b/>
          <w:sz w:val="24"/>
          <w:szCs w:val="24"/>
        </w:rPr>
        <w:t>ow do you recommend that the expenses be functionalized?</w:t>
      </w:r>
    </w:p>
    <w:p w:rsidR="00BB0D41" w:rsidRDefault="005B37AE" w:rsidP="00451C7F">
      <w:pPr>
        <w:spacing w:line="480" w:lineRule="auto"/>
        <w:ind w:left="720" w:hanging="720"/>
        <w:jc w:val="both"/>
        <w:rPr>
          <w:sz w:val="24"/>
          <w:szCs w:val="24"/>
        </w:rPr>
      </w:pPr>
      <w:r w:rsidRPr="005B37AE">
        <w:rPr>
          <w:sz w:val="24"/>
          <w:szCs w:val="24"/>
        </w:rPr>
        <w:t>A.</w:t>
      </w:r>
      <w:r w:rsidRPr="005B37AE">
        <w:rPr>
          <w:sz w:val="24"/>
          <w:szCs w:val="24"/>
        </w:rPr>
        <w:tab/>
      </w:r>
      <w:r w:rsidR="00670D1C">
        <w:rPr>
          <w:sz w:val="24"/>
          <w:szCs w:val="24"/>
        </w:rPr>
        <w:t>For this component, I accept t</w:t>
      </w:r>
      <w:r w:rsidR="0097563C">
        <w:rPr>
          <w:sz w:val="24"/>
          <w:szCs w:val="24"/>
        </w:rPr>
        <w:t>he Company’s proposal to use PAYXAG as the functionalization basis.</w:t>
      </w:r>
      <w:r w:rsidR="00451C7F">
        <w:rPr>
          <w:sz w:val="24"/>
          <w:szCs w:val="24"/>
        </w:rPr>
        <w:t xml:space="preserve">  </w:t>
      </w:r>
      <w:r w:rsidR="00BB0D41">
        <w:rPr>
          <w:sz w:val="24"/>
          <w:szCs w:val="24"/>
        </w:rPr>
        <w:t>Th</w:t>
      </w:r>
      <w:r w:rsidR="00451C7F">
        <w:rPr>
          <w:sz w:val="24"/>
          <w:szCs w:val="24"/>
        </w:rPr>
        <w:t xml:space="preserve">e costs are personnel-related, and PAYXAG is </w:t>
      </w:r>
      <w:r w:rsidR="00903F99">
        <w:rPr>
          <w:sz w:val="24"/>
          <w:szCs w:val="24"/>
        </w:rPr>
        <w:t>a payroll-</w:t>
      </w:r>
      <w:r w:rsidR="00451C7F">
        <w:rPr>
          <w:sz w:val="24"/>
          <w:szCs w:val="24"/>
        </w:rPr>
        <w:t xml:space="preserve">based </w:t>
      </w:r>
      <w:r w:rsidR="00903F99">
        <w:rPr>
          <w:sz w:val="24"/>
          <w:szCs w:val="24"/>
        </w:rPr>
        <w:t>functionalization factor.</w:t>
      </w:r>
    </w:p>
    <w:p w:rsidR="00BB0D41" w:rsidRDefault="00BB0D41" w:rsidP="001D6A94">
      <w:pPr>
        <w:spacing w:line="480" w:lineRule="auto"/>
        <w:ind w:left="720" w:hanging="720"/>
        <w:jc w:val="both"/>
        <w:rPr>
          <w:b/>
          <w:sz w:val="24"/>
          <w:szCs w:val="24"/>
        </w:rPr>
      </w:pPr>
      <w:r w:rsidRPr="00BB0D41">
        <w:rPr>
          <w:b/>
          <w:sz w:val="24"/>
          <w:szCs w:val="24"/>
        </w:rPr>
        <w:t>Q.</w:t>
      </w:r>
      <w:r w:rsidRPr="00BB0D41">
        <w:rPr>
          <w:b/>
          <w:sz w:val="24"/>
          <w:szCs w:val="24"/>
        </w:rPr>
        <w:tab/>
      </w:r>
      <w:r w:rsidR="005901EF">
        <w:rPr>
          <w:b/>
          <w:sz w:val="24"/>
          <w:szCs w:val="24"/>
        </w:rPr>
        <w:t xml:space="preserve">With respect to the second group, </w:t>
      </w:r>
      <w:r w:rsidR="003041C3">
        <w:rPr>
          <w:b/>
          <w:sz w:val="24"/>
          <w:szCs w:val="24"/>
        </w:rPr>
        <w:t xml:space="preserve">Technology Operations expense, </w:t>
      </w:r>
      <w:r w:rsidR="005901EF">
        <w:rPr>
          <w:b/>
          <w:sz w:val="24"/>
          <w:szCs w:val="24"/>
        </w:rPr>
        <w:t>d</w:t>
      </w:r>
      <w:r w:rsidR="006C3CD1">
        <w:rPr>
          <w:b/>
          <w:sz w:val="24"/>
          <w:szCs w:val="24"/>
        </w:rPr>
        <w:t xml:space="preserve">id </w:t>
      </w:r>
      <w:r w:rsidR="00C8262C">
        <w:rPr>
          <w:b/>
          <w:sz w:val="24"/>
          <w:szCs w:val="24"/>
        </w:rPr>
        <w:t>CEHE</w:t>
      </w:r>
      <w:r w:rsidR="006C3CD1">
        <w:rPr>
          <w:b/>
          <w:sz w:val="24"/>
          <w:szCs w:val="24"/>
        </w:rPr>
        <w:t xml:space="preserve"> </w:t>
      </w:r>
      <w:r w:rsidR="003041C3">
        <w:rPr>
          <w:b/>
          <w:sz w:val="24"/>
          <w:szCs w:val="24"/>
        </w:rPr>
        <w:t>describe</w:t>
      </w:r>
      <w:r w:rsidR="006C3CD1">
        <w:rPr>
          <w:b/>
          <w:sz w:val="24"/>
          <w:szCs w:val="24"/>
        </w:rPr>
        <w:t xml:space="preserve"> </w:t>
      </w:r>
      <w:r w:rsidR="003041C3">
        <w:rPr>
          <w:b/>
          <w:sz w:val="24"/>
          <w:szCs w:val="24"/>
        </w:rPr>
        <w:t>the</w:t>
      </w:r>
      <w:r w:rsidR="006C3CD1">
        <w:rPr>
          <w:b/>
          <w:sz w:val="24"/>
          <w:szCs w:val="24"/>
        </w:rPr>
        <w:t xml:space="preserve"> expenses?</w:t>
      </w:r>
    </w:p>
    <w:p w:rsidR="00F53F6E" w:rsidRDefault="006C3CD1" w:rsidP="009C651D">
      <w:pPr>
        <w:spacing w:line="480" w:lineRule="auto"/>
        <w:ind w:left="720" w:hanging="720"/>
        <w:jc w:val="both"/>
        <w:rPr>
          <w:sz w:val="24"/>
          <w:szCs w:val="24"/>
        </w:rPr>
      </w:pPr>
      <w:r w:rsidRPr="006C3CD1">
        <w:rPr>
          <w:sz w:val="24"/>
          <w:szCs w:val="24"/>
        </w:rPr>
        <w:lastRenderedPageBreak/>
        <w:t>A.</w:t>
      </w:r>
      <w:r w:rsidRPr="006C3CD1">
        <w:rPr>
          <w:sz w:val="24"/>
          <w:szCs w:val="24"/>
        </w:rPr>
        <w:tab/>
      </w:r>
      <w:r>
        <w:rPr>
          <w:sz w:val="24"/>
          <w:szCs w:val="24"/>
        </w:rPr>
        <w:t xml:space="preserve">Yes.  An explanation of the services </w:t>
      </w:r>
      <w:r w:rsidRPr="000C3B65">
        <w:rPr>
          <w:sz w:val="24"/>
          <w:szCs w:val="24"/>
        </w:rPr>
        <w:t xml:space="preserve">can be found in the testimony of </w:t>
      </w:r>
      <w:r w:rsidR="00D20915">
        <w:rPr>
          <w:sz w:val="24"/>
          <w:szCs w:val="24"/>
        </w:rPr>
        <w:t>Company</w:t>
      </w:r>
      <w:r w:rsidRPr="000C3B65">
        <w:rPr>
          <w:sz w:val="24"/>
          <w:szCs w:val="24"/>
        </w:rPr>
        <w:t xml:space="preserve"> witness </w:t>
      </w:r>
      <w:r w:rsidR="00343A4A">
        <w:rPr>
          <w:sz w:val="24"/>
          <w:szCs w:val="24"/>
        </w:rPr>
        <w:t>S</w:t>
      </w:r>
      <w:r w:rsidR="005975B4" w:rsidRPr="000C3B65">
        <w:rPr>
          <w:sz w:val="24"/>
          <w:szCs w:val="24"/>
        </w:rPr>
        <w:t>h</w:t>
      </w:r>
      <w:r w:rsidR="00343A4A">
        <w:rPr>
          <w:sz w:val="24"/>
          <w:szCs w:val="24"/>
        </w:rPr>
        <w:t>a</w:t>
      </w:r>
      <w:r w:rsidR="005975B4" w:rsidRPr="000C3B65">
        <w:rPr>
          <w:sz w:val="24"/>
          <w:szCs w:val="24"/>
        </w:rPr>
        <w:t>chella James.</w:t>
      </w:r>
      <w:r w:rsidR="005975B4">
        <w:rPr>
          <w:sz w:val="24"/>
          <w:szCs w:val="24"/>
        </w:rPr>
        <w:t xml:space="preserve">  Based on Ms. James’ testimony and information provided by the Company in response to discovery, I</w:t>
      </w:r>
      <w:r w:rsidR="00F53F6E" w:rsidRPr="00F53F6E">
        <w:rPr>
          <w:sz w:val="24"/>
          <w:szCs w:val="24"/>
        </w:rPr>
        <w:t xml:space="preserve"> </w:t>
      </w:r>
      <w:r w:rsidR="000C3B65">
        <w:rPr>
          <w:sz w:val="24"/>
          <w:szCs w:val="24"/>
        </w:rPr>
        <w:t>classified</w:t>
      </w:r>
      <w:r w:rsidR="00F53F6E">
        <w:rPr>
          <w:sz w:val="24"/>
          <w:szCs w:val="24"/>
        </w:rPr>
        <w:t xml:space="preserve"> the T</w:t>
      </w:r>
      <w:r w:rsidR="008D4A22">
        <w:rPr>
          <w:sz w:val="24"/>
          <w:szCs w:val="24"/>
        </w:rPr>
        <w:t xml:space="preserve">echnology </w:t>
      </w:r>
      <w:r w:rsidR="00F53F6E">
        <w:rPr>
          <w:sz w:val="24"/>
          <w:szCs w:val="24"/>
        </w:rPr>
        <w:t>O</w:t>
      </w:r>
      <w:r w:rsidR="008D4A22">
        <w:rPr>
          <w:sz w:val="24"/>
          <w:szCs w:val="24"/>
        </w:rPr>
        <w:t>perations</w:t>
      </w:r>
      <w:r w:rsidR="00F53F6E">
        <w:rPr>
          <w:sz w:val="24"/>
          <w:szCs w:val="24"/>
        </w:rPr>
        <w:t xml:space="preserve"> expenses </w:t>
      </w:r>
      <w:r w:rsidR="000C3B65">
        <w:rPr>
          <w:sz w:val="24"/>
          <w:szCs w:val="24"/>
        </w:rPr>
        <w:t>as</w:t>
      </w:r>
      <w:r w:rsidR="00F53F6E">
        <w:rPr>
          <w:sz w:val="24"/>
          <w:szCs w:val="24"/>
        </w:rPr>
        <w:t xml:space="preserve"> personnel-related and customer-related</w:t>
      </w:r>
      <w:r w:rsidR="000C3B65">
        <w:rPr>
          <w:sz w:val="24"/>
          <w:szCs w:val="24"/>
        </w:rPr>
        <w:t>,</w:t>
      </w:r>
      <w:r w:rsidR="00F53F6E">
        <w:rPr>
          <w:sz w:val="24"/>
          <w:szCs w:val="24"/>
        </w:rPr>
        <w:t xml:space="preserve"> as follows:</w:t>
      </w:r>
    </w:p>
    <w:p w:rsidR="009F17E6" w:rsidRDefault="00847C75" w:rsidP="002370D2">
      <w:pPr>
        <w:ind w:left="3600" w:hanging="2160"/>
        <w:jc w:val="both"/>
        <w:rPr>
          <w:sz w:val="24"/>
          <w:szCs w:val="24"/>
        </w:rPr>
      </w:pPr>
      <w:r>
        <w:rPr>
          <w:sz w:val="24"/>
          <w:szCs w:val="24"/>
        </w:rPr>
        <w:t>Table BTM</w:t>
      </w:r>
      <w:r w:rsidRPr="00F944AE">
        <w:rPr>
          <w:sz w:val="24"/>
          <w:szCs w:val="24"/>
        </w:rPr>
        <w:t>-</w:t>
      </w:r>
      <w:r w:rsidR="00F944AE" w:rsidRPr="00F944AE">
        <w:rPr>
          <w:sz w:val="24"/>
          <w:szCs w:val="24"/>
        </w:rPr>
        <w:t>5</w:t>
      </w:r>
      <w:r>
        <w:rPr>
          <w:sz w:val="24"/>
          <w:szCs w:val="24"/>
        </w:rPr>
        <w:tab/>
      </w:r>
      <w:r w:rsidR="009F17E6">
        <w:rPr>
          <w:sz w:val="24"/>
          <w:szCs w:val="24"/>
        </w:rPr>
        <w:t xml:space="preserve">Classification of </w:t>
      </w:r>
      <w:r w:rsidR="008D4A22">
        <w:rPr>
          <w:sz w:val="24"/>
          <w:szCs w:val="24"/>
        </w:rPr>
        <w:t>Technology Operations</w:t>
      </w:r>
      <w:r w:rsidR="009F17E6">
        <w:rPr>
          <w:sz w:val="24"/>
          <w:szCs w:val="24"/>
        </w:rPr>
        <w:t xml:space="preserve"> Services expenses (millions of dollars)</w:t>
      </w:r>
      <w:r w:rsidR="00F42319" w:rsidRPr="00F42319">
        <w:rPr>
          <w:rStyle w:val="FootnoteReference"/>
          <w:sz w:val="24"/>
          <w:szCs w:val="24"/>
        </w:rPr>
        <w:footnoteReference w:id="65"/>
      </w:r>
    </w:p>
    <w:p w:rsidR="00F42319" w:rsidRPr="00F42319" w:rsidRDefault="00F42319" w:rsidP="00F42319">
      <w:pPr>
        <w:ind w:left="2880"/>
        <w:jc w:val="both"/>
        <w:rPr>
          <w:sz w:val="24"/>
          <w:szCs w:val="24"/>
        </w:rPr>
      </w:pPr>
    </w:p>
    <w:tbl>
      <w:tblPr>
        <w:tblStyle w:val="TableGrid"/>
        <w:tblW w:w="0" w:type="auto"/>
        <w:tblInd w:w="1511" w:type="dxa"/>
        <w:tblLook w:val="04A0" w:firstRow="1" w:lastRow="0" w:firstColumn="1" w:lastColumn="0" w:noHBand="0" w:noVBand="1"/>
      </w:tblPr>
      <w:tblGrid>
        <w:gridCol w:w="3150"/>
        <w:gridCol w:w="1571"/>
        <w:gridCol w:w="1849"/>
      </w:tblGrid>
      <w:tr w:rsidR="009F17E6" w:rsidRPr="00E11B5C" w:rsidTr="00F42319">
        <w:tc>
          <w:tcPr>
            <w:tcW w:w="3150" w:type="dxa"/>
          </w:tcPr>
          <w:p w:rsidR="009F17E6" w:rsidRPr="00E11B5C" w:rsidRDefault="009F17E6" w:rsidP="00F53F6E">
            <w:pPr>
              <w:jc w:val="both"/>
              <w:rPr>
                <w:sz w:val="22"/>
                <w:szCs w:val="22"/>
                <w:u w:val="single"/>
              </w:rPr>
            </w:pPr>
            <w:r w:rsidRPr="00E11B5C">
              <w:rPr>
                <w:sz w:val="22"/>
                <w:szCs w:val="22"/>
                <w:u w:val="single"/>
              </w:rPr>
              <w:t>Service</w:t>
            </w:r>
          </w:p>
        </w:tc>
        <w:tc>
          <w:tcPr>
            <w:tcW w:w="1571" w:type="dxa"/>
          </w:tcPr>
          <w:p w:rsidR="009F17E6" w:rsidRPr="00E11B5C" w:rsidRDefault="009F17E6" w:rsidP="00F42319">
            <w:pPr>
              <w:jc w:val="center"/>
              <w:rPr>
                <w:sz w:val="22"/>
                <w:szCs w:val="22"/>
                <w:u w:val="single"/>
              </w:rPr>
            </w:pPr>
            <w:r w:rsidRPr="00E11B5C">
              <w:rPr>
                <w:sz w:val="22"/>
                <w:szCs w:val="22"/>
                <w:u w:val="single"/>
              </w:rPr>
              <w:t>Personnel</w:t>
            </w:r>
          </w:p>
        </w:tc>
        <w:tc>
          <w:tcPr>
            <w:tcW w:w="1849" w:type="dxa"/>
          </w:tcPr>
          <w:p w:rsidR="009F17E6" w:rsidRPr="00E11B5C" w:rsidRDefault="009F17E6" w:rsidP="009F17E6">
            <w:pPr>
              <w:jc w:val="center"/>
              <w:rPr>
                <w:sz w:val="22"/>
                <w:szCs w:val="22"/>
                <w:u w:val="single"/>
              </w:rPr>
            </w:pPr>
            <w:r w:rsidRPr="00E11B5C">
              <w:rPr>
                <w:sz w:val="22"/>
                <w:szCs w:val="22"/>
                <w:u w:val="single"/>
              </w:rPr>
              <w:t>Customer</w:t>
            </w: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Desktop Data Device</w:t>
            </w:r>
            <w:r w:rsidR="007042C0" w:rsidRPr="00E11B5C">
              <w:rPr>
                <w:rStyle w:val="FootnoteReference"/>
                <w:sz w:val="22"/>
                <w:szCs w:val="22"/>
              </w:rPr>
              <w:footnoteReference w:id="66"/>
            </w:r>
          </w:p>
        </w:tc>
        <w:tc>
          <w:tcPr>
            <w:tcW w:w="1571" w:type="dxa"/>
          </w:tcPr>
          <w:p w:rsidR="009F17E6" w:rsidRPr="00E11B5C" w:rsidRDefault="009F17E6" w:rsidP="00F42319">
            <w:pPr>
              <w:jc w:val="right"/>
              <w:rPr>
                <w:sz w:val="22"/>
                <w:szCs w:val="22"/>
              </w:rPr>
            </w:pPr>
            <w:r w:rsidRPr="00E11B5C">
              <w:rPr>
                <w:sz w:val="22"/>
                <w:szCs w:val="22"/>
              </w:rPr>
              <w:t>18.684</w:t>
            </w:r>
          </w:p>
        </w:tc>
        <w:tc>
          <w:tcPr>
            <w:tcW w:w="1849" w:type="dxa"/>
          </w:tcPr>
          <w:p w:rsidR="009F17E6" w:rsidRPr="00E11B5C" w:rsidRDefault="009F17E6" w:rsidP="00F42319">
            <w:pPr>
              <w:jc w:val="right"/>
              <w:rPr>
                <w:sz w:val="22"/>
                <w:szCs w:val="22"/>
              </w:rPr>
            </w:pP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Mainframe CPU Utilization</w:t>
            </w:r>
            <w:r w:rsidR="00C672DC" w:rsidRPr="00E11B5C">
              <w:rPr>
                <w:rStyle w:val="FootnoteReference"/>
                <w:sz w:val="22"/>
                <w:szCs w:val="22"/>
              </w:rPr>
              <w:footnoteReference w:id="67"/>
            </w:r>
          </w:p>
        </w:tc>
        <w:tc>
          <w:tcPr>
            <w:tcW w:w="1571" w:type="dxa"/>
          </w:tcPr>
          <w:p w:rsidR="009F17E6" w:rsidRPr="00E11B5C" w:rsidRDefault="009F17E6" w:rsidP="00F42319">
            <w:pPr>
              <w:jc w:val="right"/>
              <w:rPr>
                <w:sz w:val="22"/>
                <w:szCs w:val="22"/>
              </w:rPr>
            </w:pPr>
          </w:p>
        </w:tc>
        <w:tc>
          <w:tcPr>
            <w:tcW w:w="1849" w:type="dxa"/>
          </w:tcPr>
          <w:p w:rsidR="009F17E6" w:rsidRPr="00E11B5C" w:rsidRDefault="009F17E6" w:rsidP="00F42319">
            <w:pPr>
              <w:jc w:val="right"/>
              <w:rPr>
                <w:sz w:val="22"/>
                <w:szCs w:val="22"/>
              </w:rPr>
            </w:pPr>
            <w:r w:rsidRPr="00E11B5C">
              <w:rPr>
                <w:sz w:val="22"/>
                <w:szCs w:val="22"/>
              </w:rPr>
              <w:t>4.612</w:t>
            </w: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Data Management</w:t>
            </w:r>
            <w:r w:rsidR="003C7908" w:rsidRPr="00E11B5C">
              <w:rPr>
                <w:rStyle w:val="FootnoteReference"/>
                <w:sz w:val="22"/>
                <w:szCs w:val="22"/>
              </w:rPr>
              <w:footnoteReference w:id="68"/>
            </w:r>
          </w:p>
        </w:tc>
        <w:tc>
          <w:tcPr>
            <w:tcW w:w="1571" w:type="dxa"/>
          </w:tcPr>
          <w:p w:rsidR="009F17E6" w:rsidRPr="00E11B5C" w:rsidRDefault="009F17E6" w:rsidP="00F42319">
            <w:pPr>
              <w:jc w:val="right"/>
              <w:rPr>
                <w:sz w:val="22"/>
                <w:szCs w:val="22"/>
              </w:rPr>
            </w:pPr>
          </w:p>
        </w:tc>
        <w:tc>
          <w:tcPr>
            <w:tcW w:w="1849" w:type="dxa"/>
          </w:tcPr>
          <w:p w:rsidR="009F17E6" w:rsidRPr="00E11B5C" w:rsidRDefault="009F17E6" w:rsidP="00F42319">
            <w:pPr>
              <w:jc w:val="right"/>
              <w:rPr>
                <w:sz w:val="22"/>
                <w:szCs w:val="22"/>
              </w:rPr>
            </w:pPr>
            <w:r w:rsidRPr="00E11B5C">
              <w:rPr>
                <w:sz w:val="22"/>
                <w:szCs w:val="22"/>
              </w:rPr>
              <w:t>0.718</w:t>
            </w: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Distributed Systems</w:t>
            </w:r>
            <w:r w:rsidR="007355F7" w:rsidRPr="00E11B5C">
              <w:rPr>
                <w:rStyle w:val="FootnoteReference"/>
                <w:sz w:val="22"/>
                <w:szCs w:val="22"/>
              </w:rPr>
              <w:footnoteReference w:id="69"/>
            </w:r>
          </w:p>
        </w:tc>
        <w:tc>
          <w:tcPr>
            <w:tcW w:w="1571" w:type="dxa"/>
          </w:tcPr>
          <w:p w:rsidR="009F17E6" w:rsidRPr="00E11B5C" w:rsidRDefault="009F17E6" w:rsidP="00F42319">
            <w:pPr>
              <w:jc w:val="right"/>
              <w:rPr>
                <w:sz w:val="22"/>
                <w:szCs w:val="22"/>
              </w:rPr>
            </w:pPr>
          </w:p>
        </w:tc>
        <w:tc>
          <w:tcPr>
            <w:tcW w:w="1849" w:type="dxa"/>
          </w:tcPr>
          <w:p w:rsidR="009F17E6" w:rsidRPr="00E11B5C" w:rsidRDefault="009F17E6" w:rsidP="00F42319">
            <w:pPr>
              <w:jc w:val="right"/>
              <w:rPr>
                <w:sz w:val="22"/>
                <w:szCs w:val="22"/>
              </w:rPr>
            </w:pPr>
            <w:r w:rsidRPr="00E11B5C">
              <w:rPr>
                <w:sz w:val="22"/>
                <w:szCs w:val="22"/>
              </w:rPr>
              <w:t>37.814</w:t>
            </w: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Enterprise App Dev &amp; Support</w:t>
            </w:r>
          </w:p>
        </w:tc>
        <w:tc>
          <w:tcPr>
            <w:tcW w:w="1571" w:type="dxa"/>
          </w:tcPr>
          <w:p w:rsidR="009F17E6" w:rsidRPr="00E11B5C" w:rsidRDefault="009F17E6" w:rsidP="00F42319">
            <w:pPr>
              <w:jc w:val="right"/>
              <w:rPr>
                <w:sz w:val="22"/>
                <w:szCs w:val="22"/>
              </w:rPr>
            </w:pPr>
            <w:r w:rsidRPr="00E11B5C">
              <w:rPr>
                <w:sz w:val="22"/>
                <w:szCs w:val="22"/>
              </w:rPr>
              <w:t>14.502</w:t>
            </w:r>
          </w:p>
        </w:tc>
        <w:tc>
          <w:tcPr>
            <w:tcW w:w="1849" w:type="dxa"/>
          </w:tcPr>
          <w:p w:rsidR="009F17E6" w:rsidRPr="00E11B5C" w:rsidRDefault="009F17E6" w:rsidP="00F42319">
            <w:pPr>
              <w:jc w:val="right"/>
              <w:rPr>
                <w:sz w:val="22"/>
                <w:szCs w:val="22"/>
              </w:rPr>
            </w:pP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App Dev &amp; Support</w:t>
            </w:r>
            <w:r w:rsidR="006E4F32" w:rsidRPr="00E11B5C">
              <w:rPr>
                <w:rStyle w:val="FootnoteReference"/>
                <w:sz w:val="22"/>
                <w:szCs w:val="22"/>
              </w:rPr>
              <w:footnoteReference w:id="70"/>
            </w:r>
          </w:p>
        </w:tc>
        <w:tc>
          <w:tcPr>
            <w:tcW w:w="1571" w:type="dxa"/>
          </w:tcPr>
          <w:p w:rsidR="009F17E6" w:rsidRPr="00E11B5C" w:rsidRDefault="009F17E6" w:rsidP="00F42319">
            <w:pPr>
              <w:jc w:val="right"/>
              <w:rPr>
                <w:sz w:val="22"/>
                <w:szCs w:val="22"/>
              </w:rPr>
            </w:pPr>
          </w:p>
        </w:tc>
        <w:tc>
          <w:tcPr>
            <w:tcW w:w="1849" w:type="dxa"/>
          </w:tcPr>
          <w:p w:rsidR="009F17E6" w:rsidRPr="00E11B5C" w:rsidRDefault="009F17E6" w:rsidP="00F42319">
            <w:pPr>
              <w:jc w:val="right"/>
              <w:rPr>
                <w:sz w:val="22"/>
                <w:szCs w:val="22"/>
              </w:rPr>
            </w:pPr>
            <w:r w:rsidRPr="00E11B5C">
              <w:rPr>
                <w:sz w:val="22"/>
                <w:szCs w:val="22"/>
              </w:rPr>
              <w:t>26.663</w:t>
            </w: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Telephony Service</w:t>
            </w:r>
          </w:p>
        </w:tc>
        <w:tc>
          <w:tcPr>
            <w:tcW w:w="1571" w:type="dxa"/>
          </w:tcPr>
          <w:p w:rsidR="009F17E6" w:rsidRPr="00E11B5C" w:rsidRDefault="009F17E6" w:rsidP="00F42319">
            <w:pPr>
              <w:jc w:val="right"/>
              <w:rPr>
                <w:sz w:val="22"/>
                <w:szCs w:val="22"/>
              </w:rPr>
            </w:pPr>
            <w:r w:rsidRPr="00E11B5C">
              <w:rPr>
                <w:sz w:val="22"/>
                <w:szCs w:val="22"/>
              </w:rPr>
              <w:t>2.503</w:t>
            </w:r>
          </w:p>
        </w:tc>
        <w:tc>
          <w:tcPr>
            <w:tcW w:w="1849" w:type="dxa"/>
          </w:tcPr>
          <w:p w:rsidR="009F17E6" w:rsidRPr="00E11B5C" w:rsidRDefault="009F17E6" w:rsidP="00F42319">
            <w:pPr>
              <w:jc w:val="right"/>
              <w:rPr>
                <w:sz w:val="22"/>
                <w:szCs w:val="22"/>
              </w:rPr>
            </w:pP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Telecom Add/Move/Change</w:t>
            </w:r>
          </w:p>
        </w:tc>
        <w:tc>
          <w:tcPr>
            <w:tcW w:w="1571" w:type="dxa"/>
          </w:tcPr>
          <w:p w:rsidR="009F17E6" w:rsidRPr="00E11B5C" w:rsidRDefault="009F17E6" w:rsidP="00F42319">
            <w:pPr>
              <w:jc w:val="right"/>
              <w:rPr>
                <w:sz w:val="22"/>
                <w:szCs w:val="22"/>
              </w:rPr>
            </w:pPr>
            <w:r w:rsidRPr="00E11B5C">
              <w:rPr>
                <w:sz w:val="22"/>
                <w:szCs w:val="22"/>
              </w:rPr>
              <w:t>0.145</w:t>
            </w:r>
          </w:p>
        </w:tc>
        <w:tc>
          <w:tcPr>
            <w:tcW w:w="1849" w:type="dxa"/>
          </w:tcPr>
          <w:p w:rsidR="009F17E6" w:rsidRPr="00E11B5C" w:rsidRDefault="009F17E6" w:rsidP="00F42319">
            <w:pPr>
              <w:jc w:val="right"/>
              <w:rPr>
                <w:sz w:val="22"/>
                <w:szCs w:val="22"/>
              </w:rPr>
            </w:pP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Data &amp; Cyber Security Mgmt</w:t>
            </w:r>
          </w:p>
        </w:tc>
        <w:tc>
          <w:tcPr>
            <w:tcW w:w="1571" w:type="dxa"/>
          </w:tcPr>
          <w:p w:rsidR="009F17E6" w:rsidRPr="00E11B5C" w:rsidRDefault="009F17E6" w:rsidP="00F42319">
            <w:pPr>
              <w:jc w:val="right"/>
              <w:rPr>
                <w:sz w:val="22"/>
                <w:szCs w:val="22"/>
              </w:rPr>
            </w:pPr>
            <w:r w:rsidRPr="00E11B5C">
              <w:rPr>
                <w:sz w:val="22"/>
                <w:szCs w:val="22"/>
              </w:rPr>
              <w:t>3.895</w:t>
            </w:r>
          </w:p>
        </w:tc>
        <w:tc>
          <w:tcPr>
            <w:tcW w:w="1849" w:type="dxa"/>
          </w:tcPr>
          <w:p w:rsidR="009F17E6" w:rsidRPr="00E11B5C" w:rsidRDefault="009F17E6" w:rsidP="00F42319">
            <w:pPr>
              <w:jc w:val="right"/>
              <w:rPr>
                <w:sz w:val="22"/>
                <w:szCs w:val="22"/>
              </w:rPr>
            </w:pP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Subtotal</w:t>
            </w:r>
          </w:p>
        </w:tc>
        <w:tc>
          <w:tcPr>
            <w:tcW w:w="1571" w:type="dxa"/>
          </w:tcPr>
          <w:p w:rsidR="009F17E6" w:rsidRPr="00E11B5C" w:rsidRDefault="009F17E6" w:rsidP="00F42319">
            <w:pPr>
              <w:jc w:val="right"/>
              <w:rPr>
                <w:sz w:val="22"/>
                <w:szCs w:val="22"/>
              </w:rPr>
            </w:pPr>
            <w:r w:rsidRPr="00E11B5C">
              <w:rPr>
                <w:sz w:val="22"/>
                <w:szCs w:val="22"/>
              </w:rPr>
              <w:t>39.7</w:t>
            </w:r>
            <w:r w:rsidR="00D3401D">
              <w:rPr>
                <w:sz w:val="22"/>
                <w:szCs w:val="22"/>
              </w:rPr>
              <w:t>29</w:t>
            </w:r>
          </w:p>
        </w:tc>
        <w:tc>
          <w:tcPr>
            <w:tcW w:w="1849" w:type="dxa"/>
          </w:tcPr>
          <w:p w:rsidR="009F17E6" w:rsidRPr="00E11B5C" w:rsidRDefault="009F17E6" w:rsidP="00F42319">
            <w:pPr>
              <w:jc w:val="right"/>
              <w:rPr>
                <w:sz w:val="22"/>
                <w:szCs w:val="22"/>
              </w:rPr>
            </w:pPr>
            <w:r w:rsidRPr="00E11B5C">
              <w:rPr>
                <w:sz w:val="22"/>
                <w:szCs w:val="22"/>
              </w:rPr>
              <w:t>69.807</w:t>
            </w:r>
          </w:p>
        </w:tc>
      </w:tr>
      <w:tr w:rsidR="009F17E6" w:rsidRPr="00E11B5C" w:rsidTr="00F42319">
        <w:tc>
          <w:tcPr>
            <w:tcW w:w="3150" w:type="dxa"/>
          </w:tcPr>
          <w:p w:rsidR="009F17E6" w:rsidRPr="00E11B5C" w:rsidRDefault="009F17E6" w:rsidP="00F53F6E">
            <w:pPr>
              <w:jc w:val="both"/>
              <w:rPr>
                <w:sz w:val="22"/>
                <w:szCs w:val="22"/>
              </w:rPr>
            </w:pPr>
            <w:r w:rsidRPr="00E11B5C">
              <w:rPr>
                <w:sz w:val="22"/>
                <w:szCs w:val="22"/>
              </w:rPr>
              <w:t>Share of Total</w:t>
            </w:r>
          </w:p>
        </w:tc>
        <w:tc>
          <w:tcPr>
            <w:tcW w:w="1571" w:type="dxa"/>
          </w:tcPr>
          <w:p w:rsidR="009F17E6" w:rsidRPr="00E11B5C" w:rsidRDefault="00D3401D" w:rsidP="00F42319">
            <w:pPr>
              <w:jc w:val="right"/>
              <w:rPr>
                <w:sz w:val="22"/>
                <w:szCs w:val="22"/>
              </w:rPr>
            </w:pPr>
            <w:r>
              <w:rPr>
                <w:sz w:val="22"/>
                <w:szCs w:val="22"/>
              </w:rPr>
              <w:t>36.3</w:t>
            </w:r>
            <w:r w:rsidR="009F17E6" w:rsidRPr="00E11B5C">
              <w:rPr>
                <w:sz w:val="22"/>
                <w:szCs w:val="22"/>
              </w:rPr>
              <w:t>%</w:t>
            </w:r>
          </w:p>
        </w:tc>
        <w:tc>
          <w:tcPr>
            <w:tcW w:w="1849" w:type="dxa"/>
          </w:tcPr>
          <w:p w:rsidR="009F17E6" w:rsidRPr="00E11B5C" w:rsidRDefault="00D3401D" w:rsidP="00F42319">
            <w:pPr>
              <w:jc w:val="right"/>
              <w:rPr>
                <w:sz w:val="22"/>
                <w:szCs w:val="22"/>
              </w:rPr>
            </w:pPr>
            <w:r>
              <w:rPr>
                <w:sz w:val="22"/>
                <w:szCs w:val="22"/>
              </w:rPr>
              <w:t>63.7</w:t>
            </w:r>
            <w:r w:rsidR="009F17E6" w:rsidRPr="00E11B5C">
              <w:rPr>
                <w:sz w:val="22"/>
                <w:szCs w:val="22"/>
              </w:rPr>
              <w:t>%</w:t>
            </w:r>
          </w:p>
        </w:tc>
      </w:tr>
    </w:tbl>
    <w:p w:rsidR="005975B4" w:rsidRDefault="005975B4" w:rsidP="00892E2D">
      <w:pPr>
        <w:suppressLineNumbers/>
        <w:ind w:left="720" w:hanging="720"/>
        <w:jc w:val="both"/>
        <w:rPr>
          <w:sz w:val="24"/>
          <w:szCs w:val="24"/>
        </w:rPr>
      </w:pPr>
      <w:r>
        <w:rPr>
          <w:sz w:val="24"/>
          <w:szCs w:val="24"/>
        </w:rPr>
        <w:t xml:space="preserve"> </w:t>
      </w:r>
    </w:p>
    <w:p w:rsidR="00F42319" w:rsidRDefault="00F42319" w:rsidP="00F42319">
      <w:pPr>
        <w:spacing w:line="480" w:lineRule="auto"/>
        <w:ind w:left="720" w:hanging="720"/>
        <w:jc w:val="both"/>
        <w:rPr>
          <w:sz w:val="24"/>
          <w:szCs w:val="24"/>
        </w:rPr>
      </w:pPr>
      <w:r>
        <w:rPr>
          <w:sz w:val="24"/>
          <w:szCs w:val="24"/>
        </w:rPr>
        <w:lastRenderedPageBreak/>
        <w:tab/>
      </w:r>
      <w:r>
        <w:rPr>
          <w:sz w:val="24"/>
          <w:szCs w:val="24"/>
        </w:rPr>
        <w:tab/>
        <w:t xml:space="preserve">The share of </w:t>
      </w:r>
      <w:r w:rsidR="00302E72">
        <w:rPr>
          <w:sz w:val="24"/>
          <w:szCs w:val="24"/>
        </w:rPr>
        <w:t>Technology Operations</w:t>
      </w:r>
      <w:r>
        <w:rPr>
          <w:sz w:val="24"/>
          <w:szCs w:val="24"/>
        </w:rPr>
        <w:t xml:space="preserve"> services expense classified as personnel-related were functionalized on a PAYXAG basis</w:t>
      </w:r>
      <w:r w:rsidR="000362C5">
        <w:rPr>
          <w:sz w:val="24"/>
          <w:szCs w:val="24"/>
        </w:rPr>
        <w:t xml:space="preserve"> (as requested by t</w:t>
      </w:r>
      <w:r w:rsidR="00401AD9">
        <w:rPr>
          <w:sz w:val="24"/>
          <w:szCs w:val="24"/>
        </w:rPr>
        <w:t>he Company for the entirety of A</w:t>
      </w:r>
      <w:r w:rsidR="000362C5">
        <w:rPr>
          <w:sz w:val="24"/>
          <w:szCs w:val="24"/>
        </w:rPr>
        <w:t>ccount 930.2)</w:t>
      </w:r>
      <w:r w:rsidR="005C69CD">
        <w:rPr>
          <w:sz w:val="24"/>
          <w:szCs w:val="24"/>
        </w:rPr>
        <w:t>;</w:t>
      </w:r>
      <w:r>
        <w:rPr>
          <w:sz w:val="24"/>
          <w:szCs w:val="24"/>
        </w:rPr>
        <w:t xml:space="preserve"> and</w:t>
      </w:r>
      <w:r w:rsidR="005C69CD">
        <w:rPr>
          <w:sz w:val="24"/>
          <w:szCs w:val="24"/>
        </w:rPr>
        <w:t>,</w:t>
      </w:r>
      <w:r>
        <w:rPr>
          <w:sz w:val="24"/>
          <w:szCs w:val="24"/>
        </w:rPr>
        <w:t xml:space="preserve"> the share classified as customer-related were functionalized </w:t>
      </w:r>
      <w:r w:rsidR="00D25BB2">
        <w:rPr>
          <w:sz w:val="24"/>
          <w:szCs w:val="24"/>
        </w:rPr>
        <w:t xml:space="preserve">on the basis of total operations and maintenance expense excluding </w:t>
      </w:r>
      <w:r w:rsidR="00776CCE">
        <w:rPr>
          <w:sz w:val="24"/>
          <w:szCs w:val="24"/>
        </w:rPr>
        <w:t>fuel and purchased power</w:t>
      </w:r>
      <w:r>
        <w:rPr>
          <w:sz w:val="24"/>
          <w:szCs w:val="24"/>
        </w:rPr>
        <w:t xml:space="preserve"> </w:t>
      </w:r>
      <w:r w:rsidR="00D25BB2">
        <w:rPr>
          <w:sz w:val="24"/>
          <w:szCs w:val="24"/>
        </w:rPr>
        <w:t>(</w:t>
      </w:r>
      <w:r>
        <w:rPr>
          <w:sz w:val="24"/>
          <w:szCs w:val="24"/>
        </w:rPr>
        <w:t>TOMX</w:t>
      </w:r>
      <w:r w:rsidR="00776CCE">
        <w:rPr>
          <w:sz w:val="24"/>
          <w:szCs w:val="24"/>
        </w:rPr>
        <w:t>FP</w:t>
      </w:r>
      <w:r w:rsidR="00D25BB2">
        <w:rPr>
          <w:sz w:val="24"/>
          <w:szCs w:val="24"/>
        </w:rPr>
        <w:t>)</w:t>
      </w:r>
      <w:r>
        <w:rPr>
          <w:sz w:val="24"/>
          <w:szCs w:val="24"/>
        </w:rPr>
        <w:t>, excluding the transmission function.</w:t>
      </w:r>
    </w:p>
    <w:p w:rsidR="00F254AE" w:rsidRDefault="004B1703" w:rsidP="001D6A94">
      <w:pPr>
        <w:spacing w:line="480" w:lineRule="auto"/>
        <w:ind w:left="720" w:hanging="720"/>
        <w:jc w:val="both"/>
        <w:rPr>
          <w:b/>
          <w:sz w:val="24"/>
          <w:szCs w:val="24"/>
        </w:rPr>
      </w:pPr>
      <w:r w:rsidRPr="004B1703">
        <w:rPr>
          <w:b/>
          <w:sz w:val="24"/>
          <w:szCs w:val="24"/>
        </w:rPr>
        <w:t>Q.</w:t>
      </w:r>
      <w:r w:rsidRPr="004B1703">
        <w:rPr>
          <w:b/>
          <w:sz w:val="24"/>
          <w:szCs w:val="24"/>
        </w:rPr>
        <w:tab/>
        <w:t xml:space="preserve">With respect to the </w:t>
      </w:r>
      <w:r w:rsidR="00F254AE">
        <w:rPr>
          <w:b/>
          <w:sz w:val="24"/>
          <w:szCs w:val="24"/>
        </w:rPr>
        <w:t xml:space="preserve">third group, </w:t>
      </w:r>
      <w:r w:rsidRPr="004B1703">
        <w:rPr>
          <w:b/>
          <w:sz w:val="24"/>
          <w:szCs w:val="24"/>
        </w:rPr>
        <w:t xml:space="preserve">telecommunications </w:t>
      </w:r>
      <w:r w:rsidR="00F254AE">
        <w:rPr>
          <w:b/>
          <w:sz w:val="24"/>
          <w:szCs w:val="24"/>
        </w:rPr>
        <w:t xml:space="preserve">services </w:t>
      </w:r>
      <w:r w:rsidRPr="004B1703">
        <w:rPr>
          <w:b/>
          <w:sz w:val="24"/>
          <w:szCs w:val="24"/>
        </w:rPr>
        <w:t>expense</w:t>
      </w:r>
      <w:r w:rsidR="00F254AE">
        <w:rPr>
          <w:b/>
          <w:sz w:val="24"/>
          <w:szCs w:val="24"/>
        </w:rPr>
        <w:t>s,</w:t>
      </w:r>
      <w:r w:rsidRPr="004B1703">
        <w:rPr>
          <w:b/>
          <w:sz w:val="24"/>
          <w:szCs w:val="24"/>
        </w:rPr>
        <w:t xml:space="preserve"> </w:t>
      </w:r>
      <w:r w:rsidR="00F254AE">
        <w:rPr>
          <w:b/>
          <w:sz w:val="24"/>
          <w:szCs w:val="24"/>
        </w:rPr>
        <w:t>did the Company provide any information in response to discovery?</w:t>
      </w:r>
    </w:p>
    <w:p w:rsidR="00F254AE" w:rsidRPr="00F254AE" w:rsidRDefault="00F254AE" w:rsidP="001D6A94">
      <w:pPr>
        <w:spacing w:line="480" w:lineRule="auto"/>
        <w:ind w:left="720" w:hanging="720"/>
        <w:jc w:val="both"/>
        <w:rPr>
          <w:sz w:val="24"/>
          <w:szCs w:val="24"/>
        </w:rPr>
      </w:pPr>
      <w:r w:rsidRPr="00F254AE">
        <w:rPr>
          <w:sz w:val="24"/>
          <w:szCs w:val="24"/>
        </w:rPr>
        <w:t>A.</w:t>
      </w:r>
      <w:r w:rsidRPr="00F254AE">
        <w:rPr>
          <w:sz w:val="24"/>
          <w:szCs w:val="24"/>
        </w:rPr>
        <w:tab/>
        <w:t>Yes.  The Company stated:</w:t>
      </w:r>
    </w:p>
    <w:p w:rsidR="006C3CD1" w:rsidRDefault="008915C7" w:rsidP="008915C7">
      <w:pPr>
        <w:ind w:left="1440" w:right="720"/>
        <w:jc w:val="both"/>
        <w:rPr>
          <w:sz w:val="24"/>
          <w:szCs w:val="24"/>
        </w:rPr>
      </w:pPr>
      <w:r w:rsidRPr="000B6875">
        <w:rPr>
          <w:sz w:val="24"/>
          <w:szCs w:val="24"/>
        </w:rPr>
        <w:t>None of the [telecommunications services] cost centers above [Tele Del - Wireless, Telecom Network, TELECOM SUPPORT, Telecomm Cell Relay, ADDR &amp; MTR ROUTE, GIS BUSINESS SOL] are involved in the provision of wholesale transmission service.</w:t>
      </w:r>
      <w:r w:rsidRPr="000B6875">
        <w:rPr>
          <w:rStyle w:val="FootnoteReference"/>
          <w:sz w:val="24"/>
          <w:szCs w:val="24"/>
        </w:rPr>
        <w:footnoteReference w:id="71"/>
      </w:r>
    </w:p>
    <w:p w:rsidR="002F01CE" w:rsidRPr="000B6875" w:rsidRDefault="002F01CE" w:rsidP="008915C7">
      <w:pPr>
        <w:ind w:left="1440" w:right="720"/>
        <w:jc w:val="both"/>
        <w:rPr>
          <w:sz w:val="24"/>
          <w:szCs w:val="24"/>
        </w:rPr>
      </w:pPr>
    </w:p>
    <w:p w:rsidR="002F01CE" w:rsidRPr="002F01CE" w:rsidRDefault="002F01CE" w:rsidP="002F01CE">
      <w:pPr>
        <w:spacing w:line="480" w:lineRule="auto"/>
        <w:ind w:left="720" w:hanging="720"/>
        <w:jc w:val="both"/>
        <w:rPr>
          <w:sz w:val="24"/>
          <w:szCs w:val="24"/>
        </w:rPr>
      </w:pPr>
      <w:r>
        <w:rPr>
          <w:b/>
          <w:sz w:val="24"/>
          <w:szCs w:val="24"/>
        </w:rPr>
        <w:tab/>
      </w:r>
      <w:r>
        <w:rPr>
          <w:b/>
          <w:sz w:val="24"/>
          <w:szCs w:val="24"/>
        </w:rPr>
        <w:tab/>
      </w:r>
      <w:r w:rsidRPr="002F01CE">
        <w:rPr>
          <w:sz w:val="24"/>
          <w:szCs w:val="24"/>
        </w:rPr>
        <w:t xml:space="preserve">Accordingly, </w:t>
      </w:r>
      <w:r>
        <w:rPr>
          <w:sz w:val="24"/>
          <w:szCs w:val="24"/>
        </w:rPr>
        <w:t>I recommend that the full amount be directly assigned to retail cost of service.</w:t>
      </w:r>
    </w:p>
    <w:p w:rsidR="005A22AD" w:rsidRDefault="004C5643" w:rsidP="004B1703">
      <w:pPr>
        <w:spacing w:line="480" w:lineRule="auto"/>
        <w:ind w:left="720" w:hanging="720"/>
        <w:jc w:val="both"/>
        <w:rPr>
          <w:b/>
          <w:sz w:val="24"/>
          <w:szCs w:val="24"/>
        </w:rPr>
      </w:pPr>
      <w:r w:rsidRPr="004C5643">
        <w:rPr>
          <w:b/>
          <w:sz w:val="24"/>
          <w:szCs w:val="24"/>
        </w:rPr>
        <w:t>Q.</w:t>
      </w:r>
      <w:r w:rsidRPr="004C5643">
        <w:rPr>
          <w:b/>
          <w:sz w:val="24"/>
          <w:szCs w:val="24"/>
        </w:rPr>
        <w:tab/>
      </w:r>
      <w:r>
        <w:rPr>
          <w:b/>
          <w:sz w:val="24"/>
          <w:szCs w:val="24"/>
        </w:rPr>
        <w:t>How is your recommendation implemented?</w:t>
      </w:r>
    </w:p>
    <w:p w:rsidR="004A6B6A" w:rsidRDefault="004C5643" w:rsidP="004A6B6A">
      <w:pPr>
        <w:spacing w:line="480" w:lineRule="auto"/>
        <w:ind w:left="720" w:hanging="720"/>
        <w:jc w:val="both"/>
        <w:rPr>
          <w:sz w:val="24"/>
          <w:szCs w:val="24"/>
        </w:rPr>
      </w:pPr>
      <w:r w:rsidRPr="004C5643">
        <w:rPr>
          <w:sz w:val="24"/>
          <w:szCs w:val="24"/>
        </w:rPr>
        <w:t>A.</w:t>
      </w:r>
      <w:r w:rsidRPr="004C5643">
        <w:rPr>
          <w:sz w:val="24"/>
          <w:szCs w:val="24"/>
        </w:rPr>
        <w:tab/>
      </w:r>
      <w:r w:rsidR="006759D1">
        <w:rPr>
          <w:sz w:val="24"/>
          <w:szCs w:val="24"/>
        </w:rPr>
        <w:t>A</w:t>
      </w:r>
      <w:r w:rsidR="00366E57">
        <w:rPr>
          <w:sz w:val="24"/>
          <w:szCs w:val="24"/>
        </w:rPr>
        <w:t xml:space="preserve"> comparison of my recommended functionalization and the Company’s </w:t>
      </w:r>
      <w:r w:rsidR="00925B18">
        <w:rPr>
          <w:sz w:val="24"/>
          <w:szCs w:val="24"/>
        </w:rPr>
        <w:t xml:space="preserve">approach </w:t>
      </w:r>
      <w:r w:rsidR="00366E57">
        <w:rPr>
          <w:sz w:val="24"/>
          <w:szCs w:val="24"/>
        </w:rPr>
        <w:t>can be seen in the following table:</w:t>
      </w:r>
    </w:p>
    <w:p w:rsidR="00C02D71" w:rsidRDefault="00C02D71" w:rsidP="00C02D71">
      <w:pPr>
        <w:suppressLineNumbers/>
        <w:ind w:left="2880" w:hanging="2160"/>
        <w:jc w:val="both"/>
        <w:rPr>
          <w:sz w:val="24"/>
          <w:szCs w:val="24"/>
        </w:rPr>
      </w:pPr>
    </w:p>
    <w:p w:rsidR="00C02D71" w:rsidRDefault="00C02D71" w:rsidP="00C02D71">
      <w:pPr>
        <w:suppressLineNumbers/>
        <w:ind w:left="2880" w:hanging="2160"/>
        <w:jc w:val="both"/>
        <w:rPr>
          <w:sz w:val="24"/>
          <w:szCs w:val="24"/>
        </w:rPr>
      </w:pPr>
    </w:p>
    <w:p w:rsidR="00C02D71" w:rsidRDefault="00C02D71" w:rsidP="00C02D71">
      <w:pPr>
        <w:suppressLineNumbers/>
        <w:ind w:left="2880" w:hanging="2160"/>
        <w:jc w:val="both"/>
        <w:rPr>
          <w:sz w:val="24"/>
          <w:szCs w:val="24"/>
        </w:rPr>
      </w:pPr>
    </w:p>
    <w:p w:rsidR="00D3401D" w:rsidRDefault="00D3401D" w:rsidP="00D3401D">
      <w:pPr>
        <w:suppressLineNumbers/>
        <w:ind w:left="2880" w:hanging="2160"/>
        <w:jc w:val="both"/>
        <w:rPr>
          <w:sz w:val="24"/>
          <w:szCs w:val="24"/>
        </w:rPr>
      </w:pPr>
    </w:p>
    <w:p w:rsidR="00D3401D" w:rsidRDefault="00D3401D" w:rsidP="00D3401D">
      <w:pPr>
        <w:suppressLineNumbers/>
        <w:ind w:left="2880" w:hanging="2160"/>
        <w:jc w:val="both"/>
        <w:rPr>
          <w:sz w:val="24"/>
          <w:szCs w:val="24"/>
        </w:rPr>
      </w:pPr>
    </w:p>
    <w:p w:rsidR="00D3401D" w:rsidRDefault="00D3401D" w:rsidP="00D3401D">
      <w:pPr>
        <w:suppressLineNumbers/>
        <w:ind w:left="2880" w:hanging="2160"/>
        <w:jc w:val="both"/>
        <w:rPr>
          <w:sz w:val="24"/>
          <w:szCs w:val="24"/>
        </w:rPr>
      </w:pPr>
    </w:p>
    <w:p w:rsidR="00366E57" w:rsidRDefault="00366E57" w:rsidP="00E4172B">
      <w:pPr>
        <w:ind w:left="2880" w:hanging="2160"/>
        <w:jc w:val="both"/>
        <w:rPr>
          <w:sz w:val="24"/>
          <w:szCs w:val="24"/>
        </w:rPr>
      </w:pPr>
      <w:r w:rsidRPr="00F944AE">
        <w:rPr>
          <w:sz w:val="24"/>
          <w:szCs w:val="24"/>
        </w:rPr>
        <w:t xml:space="preserve">Table </w:t>
      </w:r>
      <w:r w:rsidR="00F944AE" w:rsidRPr="00F944AE">
        <w:rPr>
          <w:sz w:val="24"/>
          <w:szCs w:val="24"/>
        </w:rPr>
        <w:t>BTM-6</w:t>
      </w:r>
      <w:r>
        <w:rPr>
          <w:sz w:val="24"/>
          <w:szCs w:val="24"/>
        </w:rPr>
        <w:tab/>
        <w:t>Functionalization o</w:t>
      </w:r>
      <w:r w:rsidR="0037521E">
        <w:rPr>
          <w:sz w:val="24"/>
          <w:szCs w:val="24"/>
        </w:rPr>
        <w:t>f Account 930.2, Miscellaneous G</w:t>
      </w:r>
      <w:r>
        <w:rPr>
          <w:sz w:val="24"/>
          <w:szCs w:val="24"/>
        </w:rPr>
        <w:t xml:space="preserve">eneral </w:t>
      </w:r>
      <w:r w:rsidR="0037521E">
        <w:rPr>
          <w:sz w:val="24"/>
          <w:szCs w:val="24"/>
        </w:rPr>
        <w:t>E</w:t>
      </w:r>
      <w:r>
        <w:rPr>
          <w:sz w:val="24"/>
          <w:szCs w:val="24"/>
        </w:rPr>
        <w:t>xpense</w:t>
      </w:r>
    </w:p>
    <w:p w:rsidR="00E4172B" w:rsidRDefault="00E4172B" w:rsidP="00E4172B">
      <w:pPr>
        <w:ind w:left="2880" w:hanging="2160"/>
        <w:jc w:val="both"/>
        <w:rPr>
          <w:sz w:val="24"/>
          <w:szCs w:val="24"/>
        </w:rPr>
      </w:pPr>
    </w:p>
    <w:tbl>
      <w:tblPr>
        <w:tblStyle w:val="TableGrid"/>
        <w:tblW w:w="0" w:type="auto"/>
        <w:tblInd w:w="445" w:type="dxa"/>
        <w:tblLook w:val="04A0" w:firstRow="1" w:lastRow="0" w:firstColumn="1" w:lastColumn="0" w:noHBand="0" w:noVBand="1"/>
      </w:tblPr>
      <w:tblGrid>
        <w:gridCol w:w="2762"/>
        <w:gridCol w:w="1363"/>
        <w:gridCol w:w="1271"/>
        <w:gridCol w:w="1363"/>
        <w:gridCol w:w="1251"/>
      </w:tblGrid>
      <w:tr w:rsidR="00366E57" w:rsidTr="0033171E">
        <w:tc>
          <w:tcPr>
            <w:tcW w:w="2762" w:type="dxa"/>
          </w:tcPr>
          <w:p w:rsidR="00366E57" w:rsidRDefault="00366E57" w:rsidP="00366E57">
            <w:pPr>
              <w:jc w:val="both"/>
              <w:rPr>
                <w:sz w:val="24"/>
                <w:szCs w:val="24"/>
              </w:rPr>
            </w:pPr>
            <w:r>
              <w:rPr>
                <w:sz w:val="24"/>
                <w:szCs w:val="24"/>
              </w:rPr>
              <w:t>Function</w:t>
            </w:r>
          </w:p>
        </w:tc>
        <w:tc>
          <w:tcPr>
            <w:tcW w:w="2634" w:type="dxa"/>
            <w:gridSpan w:val="2"/>
          </w:tcPr>
          <w:p w:rsidR="00366E57" w:rsidRDefault="00C74768" w:rsidP="00C74768">
            <w:pPr>
              <w:jc w:val="center"/>
              <w:rPr>
                <w:sz w:val="24"/>
                <w:szCs w:val="24"/>
              </w:rPr>
            </w:pPr>
            <w:r>
              <w:rPr>
                <w:sz w:val="24"/>
                <w:szCs w:val="24"/>
              </w:rPr>
              <w:t>Allocation proportion</w:t>
            </w:r>
          </w:p>
        </w:tc>
        <w:tc>
          <w:tcPr>
            <w:tcW w:w="2614" w:type="dxa"/>
            <w:gridSpan w:val="2"/>
          </w:tcPr>
          <w:p w:rsidR="00366E57" w:rsidRDefault="00366E57" w:rsidP="00366E57">
            <w:pPr>
              <w:jc w:val="center"/>
              <w:rPr>
                <w:sz w:val="24"/>
                <w:szCs w:val="24"/>
              </w:rPr>
            </w:pPr>
            <w:r>
              <w:rPr>
                <w:sz w:val="24"/>
                <w:szCs w:val="24"/>
              </w:rPr>
              <w:t>$s</w:t>
            </w:r>
            <w:r w:rsidR="005317A0">
              <w:rPr>
                <w:sz w:val="24"/>
                <w:szCs w:val="24"/>
              </w:rPr>
              <w:t xml:space="preserve"> in thousands</w:t>
            </w:r>
          </w:p>
        </w:tc>
      </w:tr>
      <w:tr w:rsidR="00366E57" w:rsidTr="0033171E">
        <w:tc>
          <w:tcPr>
            <w:tcW w:w="2762" w:type="dxa"/>
          </w:tcPr>
          <w:p w:rsidR="00366E57" w:rsidRDefault="00366E57" w:rsidP="00366E57">
            <w:pPr>
              <w:jc w:val="both"/>
              <w:rPr>
                <w:sz w:val="24"/>
                <w:szCs w:val="24"/>
              </w:rPr>
            </w:pPr>
          </w:p>
        </w:tc>
        <w:tc>
          <w:tcPr>
            <w:tcW w:w="1363" w:type="dxa"/>
          </w:tcPr>
          <w:p w:rsidR="00366E57" w:rsidRDefault="00C8262C" w:rsidP="00366E57">
            <w:pPr>
              <w:jc w:val="center"/>
              <w:rPr>
                <w:sz w:val="24"/>
                <w:szCs w:val="24"/>
              </w:rPr>
            </w:pPr>
            <w:r>
              <w:rPr>
                <w:sz w:val="24"/>
                <w:szCs w:val="24"/>
              </w:rPr>
              <w:t>CEHE</w:t>
            </w:r>
          </w:p>
        </w:tc>
        <w:tc>
          <w:tcPr>
            <w:tcW w:w="1271" w:type="dxa"/>
          </w:tcPr>
          <w:p w:rsidR="00366E57" w:rsidRDefault="00366E57" w:rsidP="00366E57">
            <w:pPr>
              <w:jc w:val="center"/>
              <w:rPr>
                <w:sz w:val="24"/>
                <w:szCs w:val="24"/>
              </w:rPr>
            </w:pPr>
            <w:r>
              <w:rPr>
                <w:sz w:val="24"/>
                <w:szCs w:val="24"/>
              </w:rPr>
              <w:t>Staff</w:t>
            </w:r>
          </w:p>
        </w:tc>
        <w:tc>
          <w:tcPr>
            <w:tcW w:w="1363" w:type="dxa"/>
          </w:tcPr>
          <w:p w:rsidR="00366E57" w:rsidRDefault="00C8262C" w:rsidP="00366E57">
            <w:pPr>
              <w:jc w:val="center"/>
              <w:rPr>
                <w:sz w:val="24"/>
                <w:szCs w:val="24"/>
              </w:rPr>
            </w:pPr>
            <w:r>
              <w:rPr>
                <w:sz w:val="24"/>
                <w:szCs w:val="24"/>
              </w:rPr>
              <w:t>CEHE</w:t>
            </w:r>
          </w:p>
        </w:tc>
        <w:tc>
          <w:tcPr>
            <w:tcW w:w="1251" w:type="dxa"/>
          </w:tcPr>
          <w:p w:rsidR="00366E57" w:rsidRDefault="00366E57" w:rsidP="00366E57">
            <w:pPr>
              <w:jc w:val="center"/>
              <w:rPr>
                <w:sz w:val="24"/>
                <w:szCs w:val="24"/>
              </w:rPr>
            </w:pPr>
            <w:r>
              <w:rPr>
                <w:sz w:val="24"/>
                <w:szCs w:val="24"/>
              </w:rPr>
              <w:t>Staff</w:t>
            </w:r>
          </w:p>
        </w:tc>
      </w:tr>
      <w:tr w:rsidR="00366E57" w:rsidTr="0033171E">
        <w:tc>
          <w:tcPr>
            <w:tcW w:w="2762" w:type="dxa"/>
          </w:tcPr>
          <w:p w:rsidR="00366E57" w:rsidRDefault="00366E57" w:rsidP="00366E57">
            <w:pPr>
              <w:jc w:val="both"/>
              <w:rPr>
                <w:sz w:val="24"/>
                <w:szCs w:val="24"/>
              </w:rPr>
            </w:pPr>
          </w:p>
        </w:tc>
        <w:tc>
          <w:tcPr>
            <w:tcW w:w="1363" w:type="dxa"/>
          </w:tcPr>
          <w:p w:rsidR="00366E57" w:rsidRDefault="00366E57" w:rsidP="00C74768">
            <w:pPr>
              <w:jc w:val="both"/>
              <w:rPr>
                <w:sz w:val="24"/>
                <w:szCs w:val="24"/>
              </w:rPr>
            </w:pPr>
          </w:p>
        </w:tc>
        <w:tc>
          <w:tcPr>
            <w:tcW w:w="1271" w:type="dxa"/>
          </w:tcPr>
          <w:p w:rsidR="00366E57" w:rsidRDefault="00366E57" w:rsidP="00366E57">
            <w:pPr>
              <w:jc w:val="both"/>
              <w:rPr>
                <w:sz w:val="24"/>
                <w:szCs w:val="24"/>
              </w:rPr>
            </w:pPr>
          </w:p>
        </w:tc>
        <w:tc>
          <w:tcPr>
            <w:tcW w:w="1363" w:type="dxa"/>
          </w:tcPr>
          <w:p w:rsidR="00366E57" w:rsidRDefault="00366E57" w:rsidP="00366E57">
            <w:pPr>
              <w:jc w:val="both"/>
              <w:rPr>
                <w:sz w:val="24"/>
                <w:szCs w:val="24"/>
              </w:rPr>
            </w:pPr>
          </w:p>
        </w:tc>
        <w:tc>
          <w:tcPr>
            <w:tcW w:w="1251" w:type="dxa"/>
          </w:tcPr>
          <w:p w:rsidR="00366E57" w:rsidRDefault="00366E57" w:rsidP="006E4012">
            <w:pPr>
              <w:jc w:val="both"/>
              <w:rPr>
                <w:sz w:val="24"/>
                <w:szCs w:val="24"/>
              </w:rPr>
            </w:pPr>
          </w:p>
        </w:tc>
      </w:tr>
      <w:tr w:rsidR="00C33A87" w:rsidTr="0033171E">
        <w:tc>
          <w:tcPr>
            <w:tcW w:w="2762" w:type="dxa"/>
          </w:tcPr>
          <w:p w:rsidR="00C33A87" w:rsidRDefault="00C33A87" w:rsidP="00C33A87">
            <w:pPr>
              <w:jc w:val="both"/>
              <w:rPr>
                <w:sz w:val="24"/>
                <w:szCs w:val="24"/>
              </w:rPr>
            </w:pPr>
            <w:r>
              <w:rPr>
                <w:sz w:val="24"/>
                <w:szCs w:val="24"/>
              </w:rPr>
              <w:t>Wholesale Transmission</w:t>
            </w:r>
          </w:p>
        </w:tc>
        <w:tc>
          <w:tcPr>
            <w:tcW w:w="1363" w:type="dxa"/>
          </w:tcPr>
          <w:p w:rsidR="00C33A87" w:rsidRDefault="00C74768" w:rsidP="00D3401D">
            <w:pPr>
              <w:jc w:val="right"/>
              <w:rPr>
                <w:sz w:val="24"/>
                <w:szCs w:val="24"/>
              </w:rPr>
            </w:pPr>
            <w:r w:rsidRPr="00C74768">
              <w:rPr>
                <w:sz w:val="24"/>
                <w:szCs w:val="24"/>
              </w:rPr>
              <w:t>0.19</w:t>
            </w:r>
            <w:r w:rsidR="006E4012">
              <w:rPr>
                <w:sz w:val="24"/>
                <w:szCs w:val="24"/>
              </w:rPr>
              <w:t>12</w:t>
            </w:r>
          </w:p>
        </w:tc>
        <w:tc>
          <w:tcPr>
            <w:tcW w:w="1271" w:type="dxa"/>
          </w:tcPr>
          <w:p w:rsidR="00C33A87" w:rsidRDefault="00561AFD" w:rsidP="00D3401D">
            <w:pPr>
              <w:jc w:val="right"/>
              <w:rPr>
                <w:sz w:val="24"/>
                <w:szCs w:val="24"/>
              </w:rPr>
            </w:pPr>
            <w:r>
              <w:rPr>
                <w:sz w:val="24"/>
                <w:szCs w:val="24"/>
              </w:rPr>
              <w:t>0.1356</w:t>
            </w:r>
          </w:p>
        </w:tc>
        <w:tc>
          <w:tcPr>
            <w:tcW w:w="1363" w:type="dxa"/>
          </w:tcPr>
          <w:p w:rsidR="00C33A87" w:rsidRDefault="00C33A87" w:rsidP="00D3401D">
            <w:pPr>
              <w:jc w:val="right"/>
              <w:rPr>
                <w:sz w:val="24"/>
                <w:szCs w:val="24"/>
              </w:rPr>
            </w:pPr>
            <w:r w:rsidRPr="00C33A87">
              <w:rPr>
                <w:sz w:val="24"/>
                <w:szCs w:val="24"/>
              </w:rPr>
              <w:t>27,953</w:t>
            </w:r>
          </w:p>
        </w:tc>
        <w:tc>
          <w:tcPr>
            <w:tcW w:w="1251" w:type="dxa"/>
          </w:tcPr>
          <w:p w:rsidR="00C33A87" w:rsidRDefault="00561AFD" w:rsidP="00D3401D">
            <w:pPr>
              <w:jc w:val="right"/>
              <w:rPr>
                <w:sz w:val="24"/>
                <w:szCs w:val="24"/>
              </w:rPr>
            </w:pPr>
            <w:r>
              <w:rPr>
                <w:sz w:val="24"/>
                <w:szCs w:val="24"/>
              </w:rPr>
              <w:t>16,956</w:t>
            </w:r>
          </w:p>
        </w:tc>
      </w:tr>
      <w:tr w:rsidR="00C74768" w:rsidTr="0033171E">
        <w:tc>
          <w:tcPr>
            <w:tcW w:w="2762" w:type="dxa"/>
          </w:tcPr>
          <w:p w:rsidR="00C33A87" w:rsidRDefault="00C33A87" w:rsidP="00C33A87">
            <w:pPr>
              <w:jc w:val="both"/>
              <w:rPr>
                <w:sz w:val="24"/>
                <w:szCs w:val="24"/>
              </w:rPr>
            </w:pPr>
            <w:r>
              <w:rPr>
                <w:sz w:val="24"/>
                <w:szCs w:val="24"/>
              </w:rPr>
              <w:t xml:space="preserve">Distribution </w:t>
            </w:r>
          </w:p>
        </w:tc>
        <w:tc>
          <w:tcPr>
            <w:tcW w:w="1363" w:type="dxa"/>
          </w:tcPr>
          <w:p w:rsidR="00C33A87" w:rsidRDefault="00C74768" w:rsidP="00D3401D">
            <w:pPr>
              <w:jc w:val="right"/>
              <w:rPr>
                <w:sz w:val="24"/>
                <w:szCs w:val="24"/>
              </w:rPr>
            </w:pPr>
            <w:r w:rsidRPr="00C74768">
              <w:rPr>
                <w:sz w:val="24"/>
                <w:szCs w:val="24"/>
              </w:rPr>
              <w:t>0.711</w:t>
            </w:r>
            <w:r w:rsidR="006E4012">
              <w:rPr>
                <w:sz w:val="24"/>
                <w:szCs w:val="24"/>
              </w:rPr>
              <w:t>5</w:t>
            </w:r>
          </w:p>
        </w:tc>
        <w:tc>
          <w:tcPr>
            <w:tcW w:w="1271" w:type="dxa"/>
          </w:tcPr>
          <w:p w:rsidR="00C33A87" w:rsidRDefault="00561AFD" w:rsidP="00D3401D">
            <w:pPr>
              <w:jc w:val="right"/>
              <w:rPr>
                <w:sz w:val="24"/>
                <w:szCs w:val="24"/>
              </w:rPr>
            </w:pPr>
            <w:r>
              <w:rPr>
                <w:sz w:val="24"/>
                <w:szCs w:val="24"/>
              </w:rPr>
              <w:t>0.7079</w:t>
            </w:r>
          </w:p>
        </w:tc>
        <w:tc>
          <w:tcPr>
            <w:tcW w:w="1363" w:type="dxa"/>
          </w:tcPr>
          <w:p w:rsidR="00C33A87" w:rsidRDefault="00C33A87" w:rsidP="00D3401D">
            <w:pPr>
              <w:jc w:val="right"/>
              <w:rPr>
                <w:sz w:val="24"/>
                <w:szCs w:val="24"/>
              </w:rPr>
            </w:pPr>
            <w:r w:rsidRPr="00C33A87">
              <w:rPr>
                <w:sz w:val="24"/>
                <w:szCs w:val="24"/>
              </w:rPr>
              <w:t>104,028</w:t>
            </w:r>
          </w:p>
        </w:tc>
        <w:tc>
          <w:tcPr>
            <w:tcW w:w="1251" w:type="dxa"/>
          </w:tcPr>
          <w:p w:rsidR="00C33A87" w:rsidRDefault="00561AFD" w:rsidP="00D3401D">
            <w:pPr>
              <w:jc w:val="right"/>
              <w:rPr>
                <w:sz w:val="24"/>
                <w:szCs w:val="24"/>
              </w:rPr>
            </w:pPr>
            <w:r>
              <w:rPr>
                <w:sz w:val="24"/>
                <w:szCs w:val="24"/>
              </w:rPr>
              <w:t>88,508</w:t>
            </w:r>
          </w:p>
        </w:tc>
      </w:tr>
      <w:tr w:rsidR="00C74768" w:rsidTr="0033171E">
        <w:tc>
          <w:tcPr>
            <w:tcW w:w="2762" w:type="dxa"/>
          </w:tcPr>
          <w:p w:rsidR="00C33A87" w:rsidRDefault="00C33A87" w:rsidP="00C33A87">
            <w:pPr>
              <w:jc w:val="both"/>
              <w:rPr>
                <w:sz w:val="24"/>
                <w:szCs w:val="24"/>
              </w:rPr>
            </w:pPr>
            <w:r>
              <w:rPr>
                <w:sz w:val="24"/>
                <w:szCs w:val="24"/>
              </w:rPr>
              <w:t>Metering</w:t>
            </w:r>
          </w:p>
        </w:tc>
        <w:tc>
          <w:tcPr>
            <w:tcW w:w="1363" w:type="dxa"/>
          </w:tcPr>
          <w:p w:rsidR="00C33A87" w:rsidRDefault="00C74768" w:rsidP="00D3401D">
            <w:pPr>
              <w:jc w:val="right"/>
              <w:rPr>
                <w:sz w:val="24"/>
                <w:szCs w:val="24"/>
              </w:rPr>
            </w:pPr>
            <w:r w:rsidRPr="00C74768">
              <w:rPr>
                <w:sz w:val="24"/>
                <w:szCs w:val="24"/>
              </w:rPr>
              <w:t>0.0018</w:t>
            </w:r>
          </w:p>
        </w:tc>
        <w:tc>
          <w:tcPr>
            <w:tcW w:w="1271" w:type="dxa"/>
          </w:tcPr>
          <w:p w:rsidR="00C33A87" w:rsidRDefault="00561AFD" w:rsidP="00D3401D">
            <w:pPr>
              <w:jc w:val="right"/>
              <w:rPr>
                <w:sz w:val="24"/>
                <w:szCs w:val="24"/>
              </w:rPr>
            </w:pPr>
            <w:r>
              <w:rPr>
                <w:sz w:val="24"/>
                <w:szCs w:val="24"/>
              </w:rPr>
              <w:t>0.0378</w:t>
            </w:r>
          </w:p>
        </w:tc>
        <w:tc>
          <w:tcPr>
            <w:tcW w:w="1363" w:type="dxa"/>
          </w:tcPr>
          <w:p w:rsidR="00C33A87" w:rsidRDefault="00C33A87" w:rsidP="00D3401D">
            <w:pPr>
              <w:jc w:val="right"/>
              <w:rPr>
                <w:sz w:val="24"/>
                <w:szCs w:val="24"/>
              </w:rPr>
            </w:pPr>
            <w:r w:rsidRPr="00C33A87">
              <w:rPr>
                <w:sz w:val="24"/>
                <w:szCs w:val="24"/>
              </w:rPr>
              <w:t>266</w:t>
            </w:r>
          </w:p>
        </w:tc>
        <w:tc>
          <w:tcPr>
            <w:tcW w:w="1251" w:type="dxa"/>
          </w:tcPr>
          <w:p w:rsidR="00C33A87" w:rsidRDefault="00561AFD" w:rsidP="00D3401D">
            <w:pPr>
              <w:jc w:val="right"/>
              <w:rPr>
                <w:sz w:val="24"/>
                <w:szCs w:val="24"/>
              </w:rPr>
            </w:pPr>
            <w:r>
              <w:rPr>
                <w:sz w:val="24"/>
                <w:szCs w:val="24"/>
              </w:rPr>
              <w:t>4,724</w:t>
            </w:r>
          </w:p>
        </w:tc>
      </w:tr>
      <w:tr w:rsidR="00C74768" w:rsidTr="0033171E">
        <w:tc>
          <w:tcPr>
            <w:tcW w:w="2762" w:type="dxa"/>
          </w:tcPr>
          <w:p w:rsidR="00C33A87" w:rsidRDefault="00C33A87" w:rsidP="00C33A87">
            <w:pPr>
              <w:jc w:val="both"/>
              <w:rPr>
                <w:sz w:val="24"/>
                <w:szCs w:val="24"/>
              </w:rPr>
            </w:pPr>
            <w:r>
              <w:rPr>
                <w:sz w:val="24"/>
                <w:szCs w:val="24"/>
              </w:rPr>
              <w:t>Customer Service</w:t>
            </w:r>
          </w:p>
        </w:tc>
        <w:tc>
          <w:tcPr>
            <w:tcW w:w="1363" w:type="dxa"/>
          </w:tcPr>
          <w:p w:rsidR="00C33A87" w:rsidRDefault="00C74768" w:rsidP="00D3401D">
            <w:pPr>
              <w:jc w:val="right"/>
              <w:rPr>
                <w:sz w:val="24"/>
                <w:szCs w:val="24"/>
              </w:rPr>
            </w:pPr>
            <w:r w:rsidRPr="00C74768">
              <w:rPr>
                <w:sz w:val="24"/>
                <w:szCs w:val="24"/>
              </w:rPr>
              <w:t>0.0955</w:t>
            </w:r>
          </w:p>
        </w:tc>
        <w:tc>
          <w:tcPr>
            <w:tcW w:w="1271" w:type="dxa"/>
          </w:tcPr>
          <w:p w:rsidR="00C33A87" w:rsidRDefault="00561AFD" w:rsidP="00D3401D">
            <w:pPr>
              <w:jc w:val="right"/>
              <w:rPr>
                <w:sz w:val="24"/>
                <w:szCs w:val="24"/>
              </w:rPr>
            </w:pPr>
            <w:r>
              <w:rPr>
                <w:sz w:val="24"/>
                <w:szCs w:val="24"/>
              </w:rPr>
              <w:t>0.1187</w:t>
            </w:r>
          </w:p>
        </w:tc>
        <w:tc>
          <w:tcPr>
            <w:tcW w:w="1363" w:type="dxa"/>
          </w:tcPr>
          <w:p w:rsidR="00C33A87" w:rsidRDefault="00C33A87" w:rsidP="00D3401D">
            <w:pPr>
              <w:jc w:val="right"/>
              <w:rPr>
                <w:sz w:val="24"/>
                <w:szCs w:val="24"/>
              </w:rPr>
            </w:pPr>
            <w:r w:rsidRPr="00C33A87">
              <w:rPr>
                <w:sz w:val="24"/>
                <w:szCs w:val="24"/>
              </w:rPr>
              <w:t>13,965</w:t>
            </w:r>
          </w:p>
        </w:tc>
        <w:tc>
          <w:tcPr>
            <w:tcW w:w="1251" w:type="dxa"/>
          </w:tcPr>
          <w:p w:rsidR="00C33A87" w:rsidRDefault="00561AFD" w:rsidP="00D3401D">
            <w:pPr>
              <w:jc w:val="right"/>
              <w:rPr>
                <w:sz w:val="24"/>
                <w:szCs w:val="24"/>
              </w:rPr>
            </w:pPr>
            <w:r>
              <w:rPr>
                <w:sz w:val="24"/>
                <w:szCs w:val="24"/>
              </w:rPr>
              <w:t>14,839</w:t>
            </w:r>
          </w:p>
        </w:tc>
      </w:tr>
      <w:tr w:rsidR="00C33A87" w:rsidTr="0033171E">
        <w:tc>
          <w:tcPr>
            <w:tcW w:w="2762" w:type="dxa"/>
          </w:tcPr>
          <w:p w:rsidR="00C33A87" w:rsidRDefault="00C33A87" w:rsidP="00C33A87">
            <w:pPr>
              <w:jc w:val="both"/>
              <w:rPr>
                <w:sz w:val="24"/>
                <w:szCs w:val="24"/>
              </w:rPr>
            </w:pPr>
            <w:r>
              <w:rPr>
                <w:sz w:val="24"/>
                <w:szCs w:val="24"/>
              </w:rPr>
              <w:t>Total</w:t>
            </w:r>
          </w:p>
        </w:tc>
        <w:tc>
          <w:tcPr>
            <w:tcW w:w="1363" w:type="dxa"/>
          </w:tcPr>
          <w:p w:rsidR="00C33A87" w:rsidRDefault="006E4012" w:rsidP="00D3401D">
            <w:pPr>
              <w:jc w:val="right"/>
              <w:rPr>
                <w:sz w:val="24"/>
                <w:szCs w:val="24"/>
              </w:rPr>
            </w:pPr>
            <w:r>
              <w:rPr>
                <w:sz w:val="24"/>
                <w:szCs w:val="24"/>
              </w:rPr>
              <w:t>1.0000</w:t>
            </w:r>
          </w:p>
        </w:tc>
        <w:tc>
          <w:tcPr>
            <w:tcW w:w="1271" w:type="dxa"/>
          </w:tcPr>
          <w:p w:rsidR="00C33A87" w:rsidRDefault="00C74768" w:rsidP="00D3401D">
            <w:pPr>
              <w:jc w:val="right"/>
              <w:rPr>
                <w:sz w:val="24"/>
                <w:szCs w:val="24"/>
              </w:rPr>
            </w:pPr>
            <w:r>
              <w:rPr>
                <w:sz w:val="24"/>
                <w:szCs w:val="24"/>
              </w:rPr>
              <w:t>1.0000</w:t>
            </w:r>
          </w:p>
        </w:tc>
        <w:tc>
          <w:tcPr>
            <w:tcW w:w="1363" w:type="dxa"/>
          </w:tcPr>
          <w:p w:rsidR="00C33A87" w:rsidRDefault="00C33A87" w:rsidP="00D3401D">
            <w:pPr>
              <w:jc w:val="right"/>
              <w:rPr>
                <w:sz w:val="24"/>
                <w:szCs w:val="24"/>
              </w:rPr>
            </w:pPr>
            <w:r w:rsidRPr="005317A0">
              <w:rPr>
                <w:sz w:val="24"/>
                <w:szCs w:val="24"/>
              </w:rPr>
              <w:t>146,212</w:t>
            </w:r>
          </w:p>
        </w:tc>
        <w:tc>
          <w:tcPr>
            <w:tcW w:w="1251" w:type="dxa"/>
          </w:tcPr>
          <w:p w:rsidR="00C33A87" w:rsidRDefault="00C33A87" w:rsidP="00D3401D">
            <w:pPr>
              <w:jc w:val="right"/>
              <w:rPr>
                <w:sz w:val="24"/>
                <w:szCs w:val="24"/>
              </w:rPr>
            </w:pPr>
            <w:r w:rsidRPr="005317A0">
              <w:rPr>
                <w:sz w:val="24"/>
                <w:szCs w:val="24"/>
              </w:rPr>
              <w:t>125,027</w:t>
            </w:r>
          </w:p>
        </w:tc>
      </w:tr>
    </w:tbl>
    <w:p w:rsidR="007C0944" w:rsidRDefault="007C0944" w:rsidP="007C0944">
      <w:pPr>
        <w:pStyle w:val="Heading1"/>
        <w:numPr>
          <w:ilvl w:val="0"/>
          <w:numId w:val="0"/>
        </w:numPr>
        <w:ind w:left="720" w:hanging="720"/>
        <w:jc w:val="both"/>
        <w:rPr>
          <w:sz w:val="24"/>
        </w:rPr>
      </w:pPr>
    </w:p>
    <w:p w:rsidR="0033171E" w:rsidRPr="0033171E" w:rsidRDefault="0033171E" w:rsidP="0033171E">
      <w:pPr>
        <w:spacing w:line="480" w:lineRule="auto"/>
        <w:ind w:left="720" w:firstLine="720"/>
        <w:jc w:val="both"/>
        <w:rPr>
          <w:sz w:val="24"/>
          <w:szCs w:val="24"/>
        </w:rPr>
      </w:pPr>
      <w:r w:rsidRPr="0033171E">
        <w:rPr>
          <w:sz w:val="24"/>
          <w:szCs w:val="24"/>
        </w:rPr>
        <w:t>As can be seen, the result i</w:t>
      </w:r>
      <w:r w:rsidR="00401AD9">
        <w:rPr>
          <w:sz w:val="24"/>
          <w:szCs w:val="24"/>
        </w:rPr>
        <w:t>s a downward adjustment to the A</w:t>
      </w:r>
      <w:r w:rsidRPr="0033171E">
        <w:rPr>
          <w:sz w:val="24"/>
          <w:szCs w:val="24"/>
        </w:rPr>
        <w:t>ccount 930.2 expenses included in wholesale TCOS of approximately $11 million.</w:t>
      </w:r>
    </w:p>
    <w:p w:rsidR="008C7402" w:rsidRDefault="008C7402" w:rsidP="0033171E">
      <w:pPr>
        <w:pStyle w:val="Heading1"/>
        <w:numPr>
          <w:ilvl w:val="0"/>
          <w:numId w:val="1"/>
        </w:numPr>
        <w:spacing w:line="480" w:lineRule="auto"/>
        <w:jc w:val="both"/>
        <w:rPr>
          <w:sz w:val="24"/>
        </w:rPr>
      </w:pPr>
      <w:bookmarkStart w:id="14" w:name="_Toc11215208"/>
      <w:r>
        <w:rPr>
          <w:sz w:val="24"/>
        </w:rPr>
        <w:t>WHOLESALE T</w:t>
      </w:r>
      <w:r w:rsidR="00845D16">
        <w:rPr>
          <w:sz w:val="24"/>
        </w:rPr>
        <w:t>RANSMISSION COST OF SERVICE</w:t>
      </w:r>
      <w:bookmarkEnd w:id="14"/>
    </w:p>
    <w:p w:rsidR="004A6B6A" w:rsidRDefault="004A6B6A" w:rsidP="0033171E">
      <w:pPr>
        <w:spacing w:line="480" w:lineRule="auto"/>
        <w:ind w:left="720" w:hanging="720"/>
        <w:jc w:val="both"/>
        <w:rPr>
          <w:b/>
          <w:sz w:val="24"/>
          <w:szCs w:val="24"/>
        </w:rPr>
      </w:pPr>
      <w:r w:rsidRPr="00091AFF">
        <w:rPr>
          <w:b/>
          <w:sz w:val="24"/>
          <w:szCs w:val="24"/>
        </w:rPr>
        <w:t>Q.</w:t>
      </w:r>
      <w:r w:rsidRPr="00091AFF">
        <w:rPr>
          <w:b/>
          <w:sz w:val="24"/>
          <w:szCs w:val="24"/>
        </w:rPr>
        <w:tab/>
      </w:r>
      <w:r>
        <w:rPr>
          <w:b/>
          <w:sz w:val="24"/>
          <w:szCs w:val="24"/>
        </w:rPr>
        <w:t xml:space="preserve">What is </w:t>
      </w:r>
      <w:r w:rsidR="00C8262C">
        <w:rPr>
          <w:b/>
          <w:sz w:val="24"/>
          <w:szCs w:val="24"/>
        </w:rPr>
        <w:t>CEHE</w:t>
      </w:r>
      <w:r>
        <w:rPr>
          <w:b/>
          <w:sz w:val="24"/>
          <w:szCs w:val="24"/>
        </w:rPr>
        <w:t xml:space="preserve">’s </w:t>
      </w:r>
      <w:r w:rsidR="002E510A">
        <w:rPr>
          <w:b/>
          <w:sz w:val="24"/>
          <w:szCs w:val="24"/>
        </w:rPr>
        <w:t xml:space="preserve">Staff-adjusted wholesale </w:t>
      </w:r>
      <w:r w:rsidR="0047595E">
        <w:rPr>
          <w:b/>
          <w:sz w:val="24"/>
          <w:szCs w:val="24"/>
        </w:rPr>
        <w:t>TCOS</w:t>
      </w:r>
      <w:r>
        <w:rPr>
          <w:b/>
          <w:sz w:val="24"/>
          <w:szCs w:val="24"/>
        </w:rPr>
        <w:t>?</w:t>
      </w:r>
    </w:p>
    <w:p w:rsidR="004A6B6A" w:rsidRDefault="004A6B6A" w:rsidP="004A6B6A">
      <w:pPr>
        <w:spacing w:line="480" w:lineRule="auto"/>
        <w:ind w:left="720" w:hanging="720"/>
        <w:jc w:val="both"/>
        <w:rPr>
          <w:sz w:val="24"/>
          <w:szCs w:val="24"/>
        </w:rPr>
      </w:pPr>
      <w:r w:rsidRPr="00EE2E16">
        <w:rPr>
          <w:sz w:val="24"/>
          <w:szCs w:val="24"/>
        </w:rPr>
        <w:t>A.</w:t>
      </w:r>
      <w:r w:rsidRPr="00EE2E16">
        <w:rPr>
          <w:sz w:val="24"/>
          <w:szCs w:val="24"/>
        </w:rPr>
        <w:tab/>
      </w:r>
      <w:bookmarkStart w:id="15" w:name="OLE_LINK6"/>
      <w:bookmarkStart w:id="16" w:name="OLE_LINK8"/>
      <w:r w:rsidR="00B40AEA">
        <w:rPr>
          <w:sz w:val="24"/>
          <w:szCs w:val="24"/>
        </w:rPr>
        <w:t>The Company</w:t>
      </w:r>
      <w:r w:rsidR="00060409">
        <w:rPr>
          <w:sz w:val="24"/>
          <w:szCs w:val="24"/>
        </w:rPr>
        <w:t xml:space="preserve">’s Staff-adjusted wholesale TCOS is </w:t>
      </w:r>
      <w:r w:rsidR="00B044E0" w:rsidRPr="00F8442F">
        <w:rPr>
          <w:sz w:val="24"/>
          <w:szCs w:val="24"/>
        </w:rPr>
        <w:t>$</w:t>
      </w:r>
      <w:bookmarkEnd w:id="15"/>
      <w:r w:rsidR="00F8442F" w:rsidRPr="00F8442F">
        <w:rPr>
          <w:sz w:val="24"/>
          <w:szCs w:val="24"/>
        </w:rPr>
        <w:t>336,923,105</w:t>
      </w:r>
      <w:bookmarkEnd w:id="16"/>
      <w:r w:rsidR="00C63260">
        <w:rPr>
          <w:sz w:val="24"/>
          <w:szCs w:val="24"/>
        </w:rPr>
        <w:t xml:space="preserve">, </w:t>
      </w:r>
      <w:r w:rsidR="002E510A">
        <w:rPr>
          <w:sz w:val="24"/>
          <w:szCs w:val="24"/>
        </w:rPr>
        <w:t xml:space="preserve">which represents a </w:t>
      </w:r>
      <w:r w:rsidR="002E510A" w:rsidRPr="00F8442F">
        <w:rPr>
          <w:sz w:val="24"/>
          <w:szCs w:val="24"/>
        </w:rPr>
        <w:t xml:space="preserve">decrease of </w:t>
      </w:r>
      <w:r w:rsidR="00F8442F" w:rsidRPr="00F8442F">
        <w:rPr>
          <w:sz w:val="24"/>
          <w:szCs w:val="24"/>
        </w:rPr>
        <w:t>$58,873,468</w:t>
      </w:r>
      <w:r w:rsidR="00B044E0" w:rsidRPr="00F8442F">
        <w:rPr>
          <w:sz w:val="24"/>
          <w:szCs w:val="24"/>
        </w:rPr>
        <w:t xml:space="preserve"> </w:t>
      </w:r>
      <w:r w:rsidR="002E510A" w:rsidRPr="00F8442F">
        <w:rPr>
          <w:sz w:val="24"/>
          <w:szCs w:val="24"/>
        </w:rPr>
        <w:t xml:space="preserve">as compared to </w:t>
      </w:r>
      <w:r w:rsidR="00C8262C">
        <w:rPr>
          <w:sz w:val="24"/>
          <w:szCs w:val="24"/>
        </w:rPr>
        <w:t>CEHE</w:t>
      </w:r>
      <w:r w:rsidR="002E510A" w:rsidRPr="00F8442F">
        <w:rPr>
          <w:sz w:val="24"/>
          <w:szCs w:val="24"/>
        </w:rPr>
        <w:t xml:space="preserve">’s requested wholesale TCOS in the amount of </w:t>
      </w:r>
      <w:r w:rsidR="004B6CD6" w:rsidRPr="00F8442F">
        <w:rPr>
          <w:sz w:val="24"/>
          <w:szCs w:val="24"/>
        </w:rPr>
        <w:t>$395,796,573</w:t>
      </w:r>
      <w:r w:rsidR="002E510A" w:rsidRPr="00F8442F">
        <w:rPr>
          <w:sz w:val="24"/>
          <w:szCs w:val="24"/>
        </w:rPr>
        <w:t>.</w:t>
      </w:r>
      <w:r w:rsidR="002E510A">
        <w:rPr>
          <w:sz w:val="24"/>
          <w:szCs w:val="24"/>
        </w:rPr>
        <w:t xml:space="preserve">  A comparison of Staff’s adjusted and </w:t>
      </w:r>
      <w:r w:rsidR="00C8262C">
        <w:rPr>
          <w:sz w:val="24"/>
          <w:szCs w:val="24"/>
        </w:rPr>
        <w:t>CEHE</w:t>
      </w:r>
      <w:r w:rsidR="002E510A">
        <w:rPr>
          <w:sz w:val="24"/>
          <w:szCs w:val="24"/>
        </w:rPr>
        <w:t>’s requested wholesale TCOS can be seen in the following table:</w:t>
      </w:r>
    </w:p>
    <w:p w:rsidR="008D7F88" w:rsidRDefault="008D7F88" w:rsidP="008D7F88">
      <w:pPr>
        <w:ind w:left="2880" w:hanging="2160"/>
        <w:jc w:val="both"/>
        <w:rPr>
          <w:sz w:val="24"/>
          <w:szCs w:val="24"/>
        </w:rPr>
      </w:pPr>
      <w:r w:rsidRPr="00F944AE">
        <w:rPr>
          <w:sz w:val="24"/>
          <w:szCs w:val="24"/>
        </w:rPr>
        <w:t xml:space="preserve">Table </w:t>
      </w:r>
      <w:r w:rsidR="00F944AE" w:rsidRPr="00F944AE">
        <w:rPr>
          <w:sz w:val="24"/>
          <w:szCs w:val="24"/>
        </w:rPr>
        <w:t>BTM-7</w:t>
      </w:r>
      <w:r>
        <w:rPr>
          <w:sz w:val="24"/>
          <w:szCs w:val="24"/>
        </w:rPr>
        <w:tab/>
        <w:t xml:space="preserve">Comparison of </w:t>
      </w:r>
      <w:r w:rsidR="00C8262C">
        <w:rPr>
          <w:sz w:val="24"/>
          <w:szCs w:val="24"/>
        </w:rPr>
        <w:t>CEHE</w:t>
      </w:r>
      <w:r>
        <w:rPr>
          <w:sz w:val="24"/>
          <w:szCs w:val="24"/>
        </w:rPr>
        <w:t>’s Requested and Staff’s Recommended Wholesale T</w:t>
      </w:r>
      <w:r w:rsidR="0047595E">
        <w:rPr>
          <w:sz w:val="24"/>
          <w:szCs w:val="24"/>
        </w:rPr>
        <w:t>ransmission Revenue Requirement (amounts in thousands of dollars)</w:t>
      </w:r>
    </w:p>
    <w:p w:rsidR="008D7F88" w:rsidRDefault="008D7F88" w:rsidP="008D7F88">
      <w:pPr>
        <w:ind w:left="2880" w:hanging="2160"/>
        <w:jc w:val="both"/>
        <w:rPr>
          <w:sz w:val="24"/>
          <w:szCs w:val="24"/>
        </w:rPr>
      </w:pPr>
    </w:p>
    <w:tbl>
      <w:tblPr>
        <w:tblStyle w:val="TableGrid"/>
        <w:tblW w:w="0" w:type="auto"/>
        <w:tblInd w:w="-5" w:type="dxa"/>
        <w:tblLook w:val="04A0" w:firstRow="1" w:lastRow="0" w:firstColumn="1" w:lastColumn="0" w:noHBand="0" w:noVBand="1"/>
      </w:tblPr>
      <w:tblGrid>
        <w:gridCol w:w="4397"/>
        <w:gridCol w:w="1363"/>
        <w:gridCol w:w="1440"/>
        <w:gridCol w:w="1435"/>
      </w:tblGrid>
      <w:tr w:rsidR="008D7F88" w:rsidTr="00B40AEA">
        <w:tc>
          <w:tcPr>
            <w:tcW w:w="4397" w:type="dxa"/>
          </w:tcPr>
          <w:p w:rsidR="008D7F88" w:rsidRDefault="008D7F88" w:rsidP="008D7F88">
            <w:pPr>
              <w:jc w:val="both"/>
              <w:rPr>
                <w:sz w:val="24"/>
                <w:szCs w:val="24"/>
              </w:rPr>
            </w:pPr>
          </w:p>
        </w:tc>
        <w:tc>
          <w:tcPr>
            <w:tcW w:w="1363" w:type="dxa"/>
            <w:vAlign w:val="bottom"/>
          </w:tcPr>
          <w:p w:rsidR="008D7F88" w:rsidRDefault="00C8262C" w:rsidP="00B40AEA">
            <w:pPr>
              <w:jc w:val="center"/>
              <w:rPr>
                <w:sz w:val="24"/>
                <w:szCs w:val="24"/>
              </w:rPr>
            </w:pPr>
            <w:r>
              <w:rPr>
                <w:sz w:val="24"/>
                <w:szCs w:val="24"/>
              </w:rPr>
              <w:t>CEHE</w:t>
            </w:r>
            <w:r w:rsidR="008D7F88">
              <w:rPr>
                <w:sz w:val="24"/>
                <w:szCs w:val="24"/>
              </w:rPr>
              <w:t xml:space="preserve"> Request</w:t>
            </w:r>
          </w:p>
        </w:tc>
        <w:tc>
          <w:tcPr>
            <w:tcW w:w="1440" w:type="dxa"/>
            <w:vAlign w:val="bottom"/>
          </w:tcPr>
          <w:p w:rsidR="008D7F88" w:rsidRDefault="008D7F88" w:rsidP="00B40AEA">
            <w:pPr>
              <w:jc w:val="center"/>
              <w:rPr>
                <w:sz w:val="24"/>
                <w:szCs w:val="24"/>
              </w:rPr>
            </w:pPr>
            <w:r>
              <w:rPr>
                <w:sz w:val="24"/>
                <w:szCs w:val="24"/>
              </w:rPr>
              <w:t>Staff Adjustment</w:t>
            </w:r>
          </w:p>
        </w:tc>
        <w:tc>
          <w:tcPr>
            <w:tcW w:w="1435" w:type="dxa"/>
            <w:vAlign w:val="bottom"/>
          </w:tcPr>
          <w:p w:rsidR="008D7F88" w:rsidRDefault="008D7F88" w:rsidP="00B40AEA">
            <w:pPr>
              <w:jc w:val="center"/>
              <w:rPr>
                <w:sz w:val="24"/>
                <w:szCs w:val="24"/>
              </w:rPr>
            </w:pPr>
            <w:r>
              <w:rPr>
                <w:sz w:val="24"/>
                <w:szCs w:val="24"/>
              </w:rPr>
              <w:t>Staff-adjusted Wholesale TCOS</w:t>
            </w:r>
          </w:p>
        </w:tc>
      </w:tr>
      <w:tr w:rsidR="00B044E0" w:rsidTr="0047595E">
        <w:tc>
          <w:tcPr>
            <w:tcW w:w="4397" w:type="dxa"/>
          </w:tcPr>
          <w:p w:rsidR="00B044E0" w:rsidRDefault="00B044E0" w:rsidP="00B044E0">
            <w:pPr>
              <w:jc w:val="both"/>
              <w:rPr>
                <w:sz w:val="24"/>
                <w:szCs w:val="24"/>
              </w:rPr>
            </w:pPr>
            <w:r w:rsidRPr="0047595E">
              <w:rPr>
                <w:sz w:val="24"/>
                <w:szCs w:val="24"/>
              </w:rPr>
              <w:t>Operating and Maintenance Expenses</w:t>
            </w:r>
          </w:p>
        </w:tc>
        <w:tc>
          <w:tcPr>
            <w:tcW w:w="1363" w:type="dxa"/>
          </w:tcPr>
          <w:p w:rsidR="00B044E0" w:rsidRPr="00B044E0" w:rsidRDefault="00B044E0" w:rsidP="00B044E0">
            <w:pPr>
              <w:jc w:val="right"/>
              <w:rPr>
                <w:sz w:val="24"/>
                <w:szCs w:val="24"/>
              </w:rPr>
            </w:pPr>
            <w:r w:rsidRPr="00B044E0">
              <w:rPr>
                <w:sz w:val="24"/>
                <w:szCs w:val="24"/>
              </w:rPr>
              <w:t xml:space="preserve"> 106,519 </w:t>
            </w:r>
          </w:p>
        </w:tc>
        <w:tc>
          <w:tcPr>
            <w:tcW w:w="1440" w:type="dxa"/>
          </w:tcPr>
          <w:p w:rsidR="00B044E0" w:rsidRPr="00B044E0" w:rsidRDefault="00B044E0" w:rsidP="006B408A">
            <w:pPr>
              <w:jc w:val="right"/>
              <w:rPr>
                <w:sz w:val="24"/>
                <w:szCs w:val="24"/>
              </w:rPr>
            </w:pPr>
            <w:r w:rsidRPr="00B044E0">
              <w:rPr>
                <w:sz w:val="24"/>
                <w:szCs w:val="24"/>
              </w:rPr>
              <w:t>-1</w:t>
            </w:r>
            <w:r w:rsidR="006B408A">
              <w:rPr>
                <w:sz w:val="24"/>
                <w:szCs w:val="24"/>
              </w:rPr>
              <w:t>6,110</w:t>
            </w:r>
          </w:p>
        </w:tc>
        <w:tc>
          <w:tcPr>
            <w:tcW w:w="1435" w:type="dxa"/>
          </w:tcPr>
          <w:p w:rsidR="00B044E0" w:rsidRPr="00B044E0" w:rsidRDefault="00B044E0" w:rsidP="006B408A">
            <w:pPr>
              <w:jc w:val="right"/>
              <w:rPr>
                <w:sz w:val="24"/>
                <w:szCs w:val="24"/>
              </w:rPr>
            </w:pPr>
            <w:r w:rsidRPr="00B044E0">
              <w:rPr>
                <w:sz w:val="24"/>
                <w:szCs w:val="24"/>
              </w:rPr>
              <w:t xml:space="preserve"> </w:t>
            </w:r>
            <w:r w:rsidR="006B408A">
              <w:rPr>
                <w:sz w:val="24"/>
                <w:szCs w:val="24"/>
              </w:rPr>
              <w:t>90,409</w:t>
            </w:r>
            <w:r w:rsidRPr="00B044E0">
              <w:rPr>
                <w:sz w:val="24"/>
                <w:szCs w:val="24"/>
              </w:rPr>
              <w:t xml:space="preserve"> </w:t>
            </w:r>
          </w:p>
        </w:tc>
      </w:tr>
      <w:tr w:rsidR="00B044E0" w:rsidTr="0047595E">
        <w:tc>
          <w:tcPr>
            <w:tcW w:w="4397" w:type="dxa"/>
          </w:tcPr>
          <w:p w:rsidR="00B044E0" w:rsidRDefault="00B044E0" w:rsidP="00B044E0">
            <w:pPr>
              <w:jc w:val="both"/>
              <w:rPr>
                <w:sz w:val="24"/>
                <w:szCs w:val="24"/>
              </w:rPr>
            </w:pPr>
            <w:r w:rsidRPr="0047595E">
              <w:rPr>
                <w:sz w:val="24"/>
                <w:szCs w:val="24"/>
              </w:rPr>
              <w:t>Depreciation &amp; Amortization Expenses</w:t>
            </w:r>
          </w:p>
        </w:tc>
        <w:tc>
          <w:tcPr>
            <w:tcW w:w="1363" w:type="dxa"/>
          </w:tcPr>
          <w:p w:rsidR="00B044E0" w:rsidRPr="00B044E0" w:rsidRDefault="00B044E0" w:rsidP="00B044E0">
            <w:pPr>
              <w:jc w:val="right"/>
              <w:rPr>
                <w:sz w:val="24"/>
                <w:szCs w:val="24"/>
              </w:rPr>
            </w:pPr>
            <w:r w:rsidRPr="00B044E0">
              <w:rPr>
                <w:sz w:val="24"/>
                <w:szCs w:val="24"/>
              </w:rPr>
              <w:t xml:space="preserve"> 79,657 </w:t>
            </w:r>
          </w:p>
        </w:tc>
        <w:tc>
          <w:tcPr>
            <w:tcW w:w="1440" w:type="dxa"/>
          </w:tcPr>
          <w:p w:rsidR="00B044E0" w:rsidRPr="00B044E0" w:rsidRDefault="00B044E0" w:rsidP="006B408A">
            <w:pPr>
              <w:jc w:val="right"/>
              <w:rPr>
                <w:sz w:val="24"/>
                <w:szCs w:val="24"/>
              </w:rPr>
            </w:pPr>
            <w:r w:rsidRPr="00B044E0">
              <w:rPr>
                <w:sz w:val="24"/>
                <w:szCs w:val="24"/>
              </w:rPr>
              <w:t>-1,68</w:t>
            </w:r>
            <w:r w:rsidR="006B408A">
              <w:rPr>
                <w:sz w:val="24"/>
                <w:szCs w:val="24"/>
              </w:rPr>
              <w:t>6</w:t>
            </w:r>
          </w:p>
        </w:tc>
        <w:tc>
          <w:tcPr>
            <w:tcW w:w="1435" w:type="dxa"/>
          </w:tcPr>
          <w:p w:rsidR="00B044E0" w:rsidRPr="00B044E0" w:rsidRDefault="00B044E0" w:rsidP="00B044E0">
            <w:pPr>
              <w:jc w:val="right"/>
              <w:rPr>
                <w:sz w:val="24"/>
                <w:szCs w:val="24"/>
              </w:rPr>
            </w:pPr>
            <w:r w:rsidRPr="00B044E0">
              <w:rPr>
                <w:sz w:val="24"/>
                <w:szCs w:val="24"/>
              </w:rPr>
              <w:t xml:space="preserve"> </w:t>
            </w:r>
            <w:r w:rsidR="006B408A">
              <w:rPr>
                <w:sz w:val="24"/>
                <w:szCs w:val="24"/>
              </w:rPr>
              <w:t>77,972</w:t>
            </w:r>
            <w:r w:rsidRPr="00B044E0">
              <w:rPr>
                <w:sz w:val="24"/>
                <w:szCs w:val="24"/>
              </w:rPr>
              <w:t xml:space="preserve"> </w:t>
            </w:r>
          </w:p>
        </w:tc>
      </w:tr>
      <w:tr w:rsidR="00B044E0" w:rsidTr="0047595E">
        <w:tc>
          <w:tcPr>
            <w:tcW w:w="4397" w:type="dxa"/>
          </w:tcPr>
          <w:p w:rsidR="00B044E0" w:rsidRDefault="00B044E0" w:rsidP="00B044E0">
            <w:pPr>
              <w:jc w:val="both"/>
              <w:rPr>
                <w:sz w:val="24"/>
                <w:szCs w:val="24"/>
              </w:rPr>
            </w:pPr>
            <w:r w:rsidRPr="0047595E">
              <w:rPr>
                <w:sz w:val="24"/>
                <w:szCs w:val="24"/>
              </w:rPr>
              <w:t>Taxes Other Than Federal Income Tax</w:t>
            </w:r>
          </w:p>
        </w:tc>
        <w:tc>
          <w:tcPr>
            <w:tcW w:w="1363" w:type="dxa"/>
          </w:tcPr>
          <w:p w:rsidR="00B044E0" w:rsidRPr="00B044E0" w:rsidRDefault="00B044E0" w:rsidP="00B044E0">
            <w:pPr>
              <w:jc w:val="right"/>
              <w:rPr>
                <w:sz w:val="24"/>
                <w:szCs w:val="24"/>
              </w:rPr>
            </w:pPr>
            <w:r w:rsidRPr="00B044E0">
              <w:rPr>
                <w:sz w:val="24"/>
                <w:szCs w:val="24"/>
              </w:rPr>
              <w:t xml:space="preserve"> 43,928 </w:t>
            </w:r>
          </w:p>
        </w:tc>
        <w:tc>
          <w:tcPr>
            <w:tcW w:w="1440" w:type="dxa"/>
          </w:tcPr>
          <w:p w:rsidR="00B044E0" w:rsidRPr="00B044E0" w:rsidRDefault="00B044E0" w:rsidP="006B408A">
            <w:pPr>
              <w:jc w:val="right"/>
              <w:rPr>
                <w:sz w:val="24"/>
                <w:szCs w:val="24"/>
              </w:rPr>
            </w:pPr>
            <w:r w:rsidRPr="00B044E0">
              <w:rPr>
                <w:sz w:val="24"/>
                <w:szCs w:val="24"/>
              </w:rPr>
              <w:t>-6,4</w:t>
            </w:r>
            <w:r w:rsidR="006B408A">
              <w:rPr>
                <w:sz w:val="24"/>
                <w:szCs w:val="24"/>
              </w:rPr>
              <w:t>58</w:t>
            </w:r>
          </w:p>
        </w:tc>
        <w:tc>
          <w:tcPr>
            <w:tcW w:w="1435" w:type="dxa"/>
          </w:tcPr>
          <w:p w:rsidR="00B044E0" w:rsidRPr="00B044E0" w:rsidRDefault="00B044E0" w:rsidP="006B408A">
            <w:pPr>
              <w:jc w:val="right"/>
              <w:rPr>
                <w:sz w:val="24"/>
                <w:szCs w:val="24"/>
              </w:rPr>
            </w:pPr>
            <w:r w:rsidRPr="00B044E0">
              <w:rPr>
                <w:sz w:val="24"/>
                <w:szCs w:val="24"/>
              </w:rPr>
              <w:t xml:space="preserve"> 37,4</w:t>
            </w:r>
            <w:r w:rsidR="006B408A">
              <w:rPr>
                <w:sz w:val="24"/>
                <w:szCs w:val="24"/>
              </w:rPr>
              <w:t>70</w:t>
            </w:r>
            <w:r w:rsidRPr="00B044E0">
              <w:rPr>
                <w:sz w:val="24"/>
                <w:szCs w:val="24"/>
              </w:rPr>
              <w:t xml:space="preserve"> </w:t>
            </w:r>
          </w:p>
        </w:tc>
      </w:tr>
      <w:tr w:rsidR="00B044E0" w:rsidTr="0047595E">
        <w:tc>
          <w:tcPr>
            <w:tcW w:w="4397" w:type="dxa"/>
          </w:tcPr>
          <w:p w:rsidR="00B044E0" w:rsidRDefault="00B044E0" w:rsidP="00B044E0">
            <w:pPr>
              <w:jc w:val="both"/>
              <w:rPr>
                <w:sz w:val="24"/>
                <w:szCs w:val="24"/>
              </w:rPr>
            </w:pPr>
            <w:r w:rsidRPr="0047595E">
              <w:rPr>
                <w:sz w:val="24"/>
                <w:szCs w:val="24"/>
              </w:rPr>
              <w:t>Federal Income Tax</w:t>
            </w:r>
          </w:p>
        </w:tc>
        <w:tc>
          <w:tcPr>
            <w:tcW w:w="1363" w:type="dxa"/>
          </w:tcPr>
          <w:p w:rsidR="00B044E0" w:rsidRPr="00B044E0" w:rsidRDefault="00B044E0" w:rsidP="00B044E0">
            <w:pPr>
              <w:jc w:val="right"/>
              <w:rPr>
                <w:sz w:val="24"/>
                <w:szCs w:val="24"/>
              </w:rPr>
            </w:pPr>
            <w:r w:rsidRPr="00B044E0">
              <w:rPr>
                <w:sz w:val="24"/>
                <w:szCs w:val="24"/>
              </w:rPr>
              <w:t xml:space="preserve"> 27,265 </w:t>
            </w:r>
          </w:p>
        </w:tc>
        <w:tc>
          <w:tcPr>
            <w:tcW w:w="1440" w:type="dxa"/>
          </w:tcPr>
          <w:p w:rsidR="00B044E0" w:rsidRPr="00B044E0" w:rsidRDefault="00B044E0" w:rsidP="006B408A">
            <w:pPr>
              <w:jc w:val="right"/>
              <w:rPr>
                <w:sz w:val="24"/>
                <w:szCs w:val="24"/>
              </w:rPr>
            </w:pPr>
            <w:r w:rsidRPr="00B044E0">
              <w:rPr>
                <w:sz w:val="24"/>
                <w:szCs w:val="24"/>
              </w:rPr>
              <w:t>-9,25</w:t>
            </w:r>
            <w:r w:rsidR="006B408A">
              <w:rPr>
                <w:sz w:val="24"/>
                <w:szCs w:val="24"/>
              </w:rPr>
              <w:t>8</w:t>
            </w:r>
          </w:p>
        </w:tc>
        <w:tc>
          <w:tcPr>
            <w:tcW w:w="1435" w:type="dxa"/>
          </w:tcPr>
          <w:p w:rsidR="00B044E0" w:rsidRPr="00B044E0" w:rsidRDefault="00B044E0" w:rsidP="00B044E0">
            <w:pPr>
              <w:jc w:val="right"/>
              <w:rPr>
                <w:sz w:val="24"/>
                <w:szCs w:val="24"/>
              </w:rPr>
            </w:pPr>
            <w:r w:rsidRPr="00B044E0">
              <w:rPr>
                <w:sz w:val="24"/>
                <w:szCs w:val="24"/>
              </w:rPr>
              <w:t xml:space="preserve"> </w:t>
            </w:r>
            <w:r w:rsidR="006B408A">
              <w:rPr>
                <w:sz w:val="24"/>
                <w:szCs w:val="24"/>
              </w:rPr>
              <w:t>18,007</w:t>
            </w:r>
            <w:r w:rsidRPr="00B044E0">
              <w:rPr>
                <w:sz w:val="24"/>
                <w:szCs w:val="24"/>
              </w:rPr>
              <w:t xml:space="preserve"> </w:t>
            </w:r>
          </w:p>
        </w:tc>
      </w:tr>
      <w:tr w:rsidR="00B044E0" w:rsidTr="0047595E">
        <w:tc>
          <w:tcPr>
            <w:tcW w:w="4397" w:type="dxa"/>
          </w:tcPr>
          <w:p w:rsidR="00B044E0" w:rsidRDefault="00B044E0" w:rsidP="00B044E0">
            <w:pPr>
              <w:jc w:val="both"/>
              <w:rPr>
                <w:sz w:val="24"/>
                <w:szCs w:val="24"/>
              </w:rPr>
            </w:pPr>
            <w:r w:rsidRPr="0047595E">
              <w:rPr>
                <w:sz w:val="24"/>
                <w:szCs w:val="24"/>
              </w:rPr>
              <w:t>Return on  Invested Capital</w:t>
            </w:r>
          </w:p>
        </w:tc>
        <w:tc>
          <w:tcPr>
            <w:tcW w:w="1363" w:type="dxa"/>
          </w:tcPr>
          <w:p w:rsidR="00B044E0" w:rsidRPr="00B044E0" w:rsidRDefault="00B044E0" w:rsidP="00B044E0">
            <w:pPr>
              <w:jc w:val="right"/>
              <w:rPr>
                <w:sz w:val="24"/>
                <w:szCs w:val="24"/>
              </w:rPr>
            </w:pPr>
            <w:r w:rsidRPr="00B044E0">
              <w:rPr>
                <w:sz w:val="24"/>
                <w:szCs w:val="24"/>
              </w:rPr>
              <w:t xml:space="preserve"> 174,743 </w:t>
            </w:r>
          </w:p>
        </w:tc>
        <w:tc>
          <w:tcPr>
            <w:tcW w:w="1440" w:type="dxa"/>
          </w:tcPr>
          <w:p w:rsidR="00B044E0" w:rsidRPr="00B044E0" w:rsidRDefault="00B044E0" w:rsidP="00B044E0">
            <w:pPr>
              <w:jc w:val="right"/>
              <w:rPr>
                <w:sz w:val="24"/>
                <w:szCs w:val="24"/>
              </w:rPr>
            </w:pPr>
            <w:r w:rsidRPr="00B044E0">
              <w:rPr>
                <w:sz w:val="24"/>
                <w:szCs w:val="24"/>
              </w:rPr>
              <w:t>-25,36</w:t>
            </w:r>
            <w:r w:rsidR="006B408A">
              <w:rPr>
                <w:sz w:val="24"/>
                <w:szCs w:val="24"/>
              </w:rPr>
              <w:t>2</w:t>
            </w:r>
          </w:p>
        </w:tc>
        <w:tc>
          <w:tcPr>
            <w:tcW w:w="1435" w:type="dxa"/>
          </w:tcPr>
          <w:p w:rsidR="00B044E0" w:rsidRPr="00B044E0" w:rsidRDefault="006B408A" w:rsidP="00B044E0">
            <w:pPr>
              <w:jc w:val="right"/>
              <w:rPr>
                <w:sz w:val="24"/>
                <w:szCs w:val="24"/>
              </w:rPr>
            </w:pPr>
            <w:r>
              <w:rPr>
                <w:sz w:val="24"/>
                <w:szCs w:val="24"/>
              </w:rPr>
              <w:t xml:space="preserve"> 149,381</w:t>
            </w:r>
            <w:r w:rsidR="00B044E0" w:rsidRPr="00B044E0">
              <w:rPr>
                <w:sz w:val="24"/>
                <w:szCs w:val="24"/>
              </w:rPr>
              <w:t xml:space="preserve"> </w:t>
            </w:r>
          </w:p>
        </w:tc>
      </w:tr>
      <w:tr w:rsidR="002F4B1B" w:rsidTr="0047595E">
        <w:tc>
          <w:tcPr>
            <w:tcW w:w="4397" w:type="dxa"/>
          </w:tcPr>
          <w:p w:rsidR="002F4B1B" w:rsidRDefault="002F4B1B" w:rsidP="002F4B1B">
            <w:pPr>
              <w:jc w:val="both"/>
              <w:rPr>
                <w:sz w:val="24"/>
                <w:szCs w:val="24"/>
              </w:rPr>
            </w:pPr>
            <w:r>
              <w:rPr>
                <w:sz w:val="24"/>
                <w:szCs w:val="24"/>
              </w:rPr>
              <w:t>Minus:  Other revenues</w:t>
            </w:r>
          </w:p>
        </w:tc>
        <w:tc>
          <w:tcPr>
            <w:tcW w:w="1363" w:type="dxa"/>
          </w:tcPr>
          <w:p w:rsidR="002F4B1B" w:rsidRPr="002F4B1B" w:rsidRDefault="002F4B1B" w:rsidP="002F4B1B">
            <w:pPr>
              <w:jc w:val="right"/>
              <w:rPr>
                <w:sz w:val="24"/>
                <w:szCs w:val="24"/>
              </w:rPr>
            </w:pPr>
            <w:r w:rsidRPr="002F4B1B">
              <w:rPr>
                <w:sz w:val="24"/>
                <w:szCs w:val="24"/>
              </w:rPr>
              <w:t xml:space="preserve"> 36,316 </w:t>
            </w:r>
          </w:p>
        </w:tc>
        <w:tc>
          <w:tcPr>
            <w:tcW w:w="1440" w:type="dxa"/>
          </w:tcPr>
          <w:p w:rsidR="002F4B1B" w:rsidRPr="002F4B1B" w:rsidRDefault="002F4B1B" w:rsidP="002F4B1B">
            <w:pPr>
              <w:jc w:val="right"/>
              <w:rPr>
                <w:sz w:val="24"/>
                <w:szCs w:val="24"/>
              </w:rPr>
            </w:pPr>
            <w:r w:rsidRPr="002F4B1B">
              <w:rPr>
                <w:sz w:val="24"/>
                <w:szCs w:val="24"/>
              </w:rPr>
              <w:t>0</w:t>
            </w:r>
          </w:p>
        </w:tc>
        <w:tc>
          <w:tcPr>
            <w:tcW w:w="1435" w:type="dxa"/>
          </w:tcPr>
          <w:p w:rsidR="002F4B1B" w:rsidRPr="002F4B1B" w:rsidRDefault="002F4B1B" w:rsidP="002F4B1B">
            <w:pPr>
              <w:jc w:val="right"/>
              <w:rPr>
                <w:sz w:val="24"/>
                <w:szCs w:val="24"/>
              </w:rPr>
            </w:pPr>
            <w:r w:rsidRPr="002F4B1B">
              <w:rPr>
                <w:sz w:val="24"/>
                <w:szCs w:val="24"/>
              </w:rPr>
              <w:t xml:space="preserve"> 36,316 </w:t>
            </w:r>
          </w:p>
        </w:tc>
      </w:tr>
      <w:tr w:rsidR="00B044E0" w:rsidTr="0047595E">
        <w:tc>
          <w:tcPr>
            <w:tcW w:w="4397" w:type="dxa"/>
          </w:tcPr>
          <w:p w:rsidR="00B044E0" w:rsidRPr="002F4B1B" w:rsidRDefault="00B044E0" w:rsidP="00B044E0">
            <w:pPr>
              <w:jc w:val="both"/>
              <w:rPr>
                <w:b/>
                <w:sz w:val="24"/>
                <w:szCs w:val="24"/>
              </w:rPr>
            </w:pPr>
            <w:r w:rsidRPr="002F4B1B">
              <w:rPr>
                <w:b/>
                <w:sz w:val="24"/>
                <w:szCs w:val="24"/>
              </w:rPr>
              <w:t>Wholesale TCOS</w:t>
            </w:r>
          </w:p>
        </w:tc>
        <w:tc>
          <w:tcPr>
            <w:tcW w:w="1363" w:type="dxa"/>
          </w:tcPr>
          <w:p w:rsidR="00B044E0" w:rsidRPr="00B044E0" w:rsidRDefault="00B044E0" w:rsidP="00B044E0">
            <w:pPr>
              <w:jc w:val="right"/>
              <w:rPr>
                <w:b/>
                <w:sz w:val="24"/>
                <w:szCs w:val="24"/>
              </w:rPr>
            </w:pPr>
            <w:r w:rsidRPr="00B044E0">
              <w:rPr>
                <w:b/>
                <w:sz w:val="24"/>
                <w:szCs w:val="24"/>
              </w:rPr>
              <w:t xml:space="preserve"> 395,797 </w:t>
            </w:r>
          </w:p>
        </w:tc>
        <w:tc>
          <w:tcPr>
            <w:tcW w:w="1440" w:type="dxa"/>
          </w:tcPr>
          <w:p w:rsidR="00B044E0" w:rsidRPr="00B044E0" w:rsidRDefault="00F171D0" w:rsidP="00B044E0">
            <w:pPr>
              <w:jc w:val="right"/>
              <w:rPr>
                <w:b/>
                <w:sz w:val="24"/>
                <w:szCs w:val="24"/>
              </w:rPr>
            </w:pPr>
            <w:r>
              <w:rPr>
                <w:b/>
                <w:sz w:val="24"/>
                <w:szCs w:val="24"/>
              </w:rPr>
              <w:t>-58,873</w:t>
            </w:r>
          </w:p>
        </w:tc>
        <w:tc>
          <w:tcPr>
            <w:tcW w:w="1435" w:type="dxa"/>
          </w:tcPr>
          <w:p w:rsidR="00B044E0" w:rsidRPr="00B044E0" w:rsidRDefault="006B408A" w:rsidP="00B044E0">
            <w:pPr>
              <w:jc w:val="right"/>
              <w:rPr>
                <w:b/>
                <w:sz w:val="24"/>
                <w:szCs w:val="24"/>
              </w:rPr>
            </w:pPr>
            <w:r>
              <w:rPr>
                <w:b/>
                <w:sz w:val="24"/>
                <w:szCs w:val="24"/>
              </w:rPr>
              <w:t xml:space="preserve"> 336,923</w:t>
            </w:r>
            <w:r w:rsidR="00B044E0" w:rsidRPr="00B044E0">
              <w:rPr>
                <w:b/>
                <w:sz w:val="24"/>
                <w:szCs w:val="24"/>
              </w:rPr>
              <w:t xml:space="preserve"> </w:t>
            </w:r>
          </w:p>
        </w:tc>
      </w:tr>
    </w:tbl>
    <w:p w:rsidR="00841312" w:rsidRDefault="00841312" w:rsidP="00C02D71">
      <w:pPr>
        <w:suppressLineNumbers/>
        <w:jc w:val="both"/>
        <w:rPr>
          <w:sz w:val="24"/>
          <w:szCs w:val="24"/>
        </w:rPr>
      </w:pPr>
    </w:p>
    <w:p w:rsidR="003C0384" w:rsidRDefault="003C0384" w:rsidP="003C0384">
      <w:pPr>
        <w:pStyle w:val="Heading1"/>
        <w:numPr>
          <w:ilvl w:val="0"/>
          <w:numId w:val="1"/>
        </w:numPr>
        <w:spacing w:line="480" w:lineRule="auto"/>
        <w:jc w:val="both"/>
        <w:rPr>
          <w:sz w:val="24"/>
        </w:rPr>
      </w:pPr>
      <w:bookmarkStart w:id="17" w:name="_Toc11215209"/>
      <w:r>
        <w:rPr>
          <w:sz w:val="24"/>
        </w:rPr>
        <w:t>WHOLESALE TRANSMISSION RATES</w:t>
      </w:r>
      <w:bookmarkEnd w:id="17"/>
    </w:p>
    <w:p w:rsidR="003C0384" w:rsidRDefault="003C0384" w:rsidP="003C0384">
      <w:pPr>
        <w:spacing w:line="480" w:lineRule="auto"/>
        <w:jc w:val="both"/>
        <w:rPr>
          <w:b/>
          <w:sz w:val="24"/>
          <w:szCs w:val="24"/>
        </w:rPr>
      </w:pPr>
      <w:r w:rsidRPr="00773317">
        <w:rPr>
          <w:b/>
          <w:sz w:val="24"/>
          <w:szCs w:val="24"/>
        </w:rPr>
        <w:t>Q.</w:t>
      </w:r>
      <w:r w:rsidRPr="00773317">
        <w:rPr>
          <w:b/>
          <w:sz w:val="24"/>
          <w:szCs w:val="24"/>
        </w:rPr>
        <w:tab/>
      </w:r>
      <w:r>
        <w:rPr>
          <w:b/>
          <w:sz w:val="24"/>
          <w:szCs w:val="24"/>
        </w:rPr>
        <w:t>Please describe wholesale transmission rates.</w:t>
      </w:r>
    </w:p>
    <w:p w:rsidR="0007634F" w:rsidRDefault="003C0384" w:rsidP="003C0384">
      <w:pPr>
        <w:spacing w:line="480" w:lineRule="auto"/>
        <w:ind w:left="720" w:hanging="720"/>
        <w:jc w:val="both"/>
        <w:rPr>
          <w:sz w:val="24"/>
          <w:szCs w:val="24"/>
        </w:rPr>
      </w:pPr>
      <w:r w:rsidRPr="00773317">
        <w:rPr>
          <w:sz w:val="24"/>
          <w:szCs w:val="24"/>
        </w:rPr>
        <w:t>A.</w:t>
      </w:r>
      <w:r w:rsidRPr="00773317">
        <w:rPr>
          <w:sz w:val="24"/>
          <w:szCs w:val="24"/>
        </w:rPr>
        <w:tab/>
      </w:r>
      <w:r>
        <w:rPr>
          <w:sz w:val="24"/>
          <w:szCs w:val="24"/>
        </w:rPr>
        <w:t>There are two types of wholesale transmission rates:  access fees for wholesale transmission service within ERCOT, and transmission s</w:t>
      </w:r>
      <w:r w:rsidR="0080396B">
        <w:rPr>
          <w:sz w:val="24"/>
          <w:szCs w:val="24"/>
        </w:rPr>
        <w:t>ervice for delivery of power to be exported from ERCOT.</w:t>
      </w:r>
    </w:p>
    <w:p w:rsidR="0007634F" w:rsidRDefault="00C8262C" w:rsidP="0007634F">
      <w:pPr>
        <w:spacing w:line="480" w:lineRule="auto"/>
        <w:ind w:left="720" w:firstLine="720"/>
        <w:jc w:val="both"/>
        <w:rPr>
          <w:sz w:val="24"/>
          <w:szCs w:val="24"/>
        </w:rPr>
      </w:pPr>
      <w:r>
        <w:rPr>
          <w:sz w:val="24"/>
          <w:szCs w:val="24"/>
        </w:rPr>
        <w:t>CEHE</w:t>
      </w:r>
      <w:r w:rsidR="003C0384">
        <w:rPr>
          <w:sz w:val="24"/>
          <w:szCs w:val="24"/>
        </w:rPr>
        <w:t xml:space="preserve">’s annual access fee for transmission service within ERCOT is calculated as its TCOS </w:t>
      </w:r>
      <w:r w:rsidR="0007634F">
        <w:rPr>
          <w:sz w:val="24"/>
          <w:szCs w:val="24"/>
        </w:rPr>
        <w:t>divided by the</w:t>
      </w:r>
      <w:r w:rsidR="003C0384">
        <w:rPr>
          <w:sz w:val="24"/>
          <w:szCs w:val="24"/>
        </w:rPr>
        <w:t xml:space="preserve"> ERCOT billing units</w:t>
      </w:r>
      <w:r w:rsidR="0007634F">
        <w:rPr>
          <w:sz w:val="24"/>
          <w:szCs w:val="24"/>
        </w:rPr>
        <w:t xml:space="preserve"> most recently approved by the Commission</w:t>
      </w:r>
      <w:r w:rsidR="004225A2" w:rsidRPr="004225A2">
        <w:rPr>
          <w:sz w:val="24"/>
          <w:szCs w:val="24"/>
        </w:rPr>
        <w:t>.</w:t>
      </w:r>
      <w:r w:rsidR="004225A2">
        <w:rPr>
          <w:rStyle w:val="FootnoteReference"/>
          <w:sz w:val="24"/>
          <w:szCs w:val="24"/>
        </w:rPr>
        <w:footnoteReference w:id="72"/>
      </w:r>
    </w:p>
    <w:p w:rsidR="003C0384" w:rsidRPr="00B3074B" w:rsidRDefault="003C0384" w:rsidP="0007634F">
      <w:pPr>
        <w:spacing w:line="480" w:lineRule="auto"/>
        <w:ind w:left="720" w:firstLine="720"/>
        <w:jc w:val="both"/>
        <w:rPr>
          <w:sz w:val="24"/>
          <w:szCs w:val="24"/>
        </w:rPr>
      </w:pPr>
      <w:r>
        <w:rPr>
          <w:sz w:val="24"/>
          <w:szCs w:val="24"/>
        </w:rPr>
        <w:t xml:space="preserve">The transmission service rates for exports from ERCOT are seasonally differentiated.  There is an on-peak rate which is effective during the months of June, July, August and September is equal to </w:t>
      </w:r>
      <w:r w:rsidR="00C8262C">
        <w:rPr>
          <w:sz w:val="24"/>
          <w:szCs w:val="24"/>
        </w:rPr>
        <w:t>CEHE</w:t>
      </w:r>
      <w:r w:rsidR="00B836F5">
        <w:rPr>
          <w:sz w:val="24"/>
          <w:szCs w:val="24"/>
        </w:rPr>
        <w:t>’s</w:t>
      </w:r>
      <w:r>
        <w:rPr>
          <w:sz w:val="24"/>
          <w:szCs w:val="24"/>
        </w:rPr>
        <w:t xml:space="preserve"> annual access fee divided by four.  There is also an off-peak rate which is effective during all other calendar </w:t>
      </w:r>
      <w:r w:rsidRPr="00B3074B">
        <w:rPr>
          <w:sz w:val="24"/>
          <w:szCs w:val="24"/>
        </w:rPr>
        <w:t xml:space="preserve">months and is based on </w:t>
      </w:r>
      <w:r w:rsidR="00B836F5">
        <w:rPr>
          <w:sz w:val="24"/>
          <w:szCs w:val="24"/>
        </w:rPr>
        <w:t>the Company</w:t>
      </w:r>
      <w:r w:rsidRPr="00B3074B">
        <w:rPr>
          <w:sz w:val="24"/>
          <w:szCs w:val="24"/>
        </w:rPr>
        <w:t>’s annual</w:t>
      </w:r>
      <w:r>
        <w:rPr>
          <w:sz w:val="24"/>
          <w:szCs w:val="24"/>
        </w:rPr>
        <w:t xml:space="preserve"> access fee divided by twelv</w:t>
      </w:r>
      <w:r w:rsidRPr="00A446F5">
        <w:rPr>
          <w:sz w:val="24"/>
          <w:szCs w:val="24"/>
        </w:rPr>
        <w:t>e</w:t>
      </w:r>
      <w:r w:rsidR="002F64FC" w:rsidRPr="00A446F5">
        <w:rPr>
          <w:sz w:val="24"/>
          <w:szCs w:val="24"/>
        </w:rPr>
        <w:t>.</w:t>
      </w:r>
      <w:r w:rsidR="002F64FC" w:rsidRPr="00A446F5">
        <w:rPr>
          <w:rStyle w:val="FootnoteReference"/>
          <w:sz w:val="24"/>
          <w:szCs w:val="24"/>
        </w:rPr>
        <w:footnoteReference w:id="73"/>
      </w:r>
    </w:p>
    <w:p w:rsidR="003C0384" w:rsidRPr="00B90F32" w:rsidRDefault="003C0384" w:rsidP="003C0384">
      <w:pPr>
        <w:spacing w:line="480" w:lineRule="auto"/>
        <w:ind w:left="720" w:hanging="720"/>
        <w:jc w:val="both"/>
        <w:rPr>
          <w:b/>
          <w:sz w:val="24"/>
          <w:szCs w:val="24"/>
        </w:rPr>
      </w:pPr>
      <w:r w:rsidRPr="00B90F32">
        <w:rPr>
          <w:b/>
          <w:sz w:val="24"/>
          <w:szCs w:val="24"/>
        </w:rPr>
        <w:t>Q.</w:t>
      </w:r>
      <w:r w:rsidRPr="00B90F32">
        <w:rPr>
          <w:b/>
          <w:sz w:val="24"/>
          <w:szCs w:val="24"/>
        </w:rPr>
        <w:tab/>
        <w:t xml:space="preserve">Please set forth </w:t>
      </w:r>
      <w:r w:rsidR="00C8262C">
        <w:rPr>
          <w:b/>
          <w:sz w:val="24"/>
          <w:szCs w:val="24"/>
        </w:rPr>
        <w:t>CEHE</w:t>
      </w:r>
      <w:r w:rsidRPr="00B90F32">
        <w:rPr>
          <w:b/>
          <w:sz w:val="24"/>
          <w:szCs w:val="24"/>
        </w:rPr>
        <w:t>’s wholesale transmission rates consistent with Staff’s recommendations.</w:t>
      </w:r>
    </w:p>
    <w:p w:rsidR="003C0384" w:rsidRDefault="003C0384" w:rsidP="003C0384">
      <w:pPr>
        <w:spacing w:line="480" w:lineRule="auto"/>
        <w:jc w:val="both"/>
        <w:rPr>
          <w:sz w:val="24"/>
          <w:szCs w:val="24"/>
        </w:rPr>
      </w:pPr>
      <w:r>
        <w:rPr>
          <w:sz w:val="24"/>
          <w:szCs w:val="24"/>
        </w:rPr>
        <w:t>A.</w:t>
      </w:r>
      <w:r>
        <w:rPr>
          <w:sz w:val="24"/>
          <w:szCs w:val="24"/>
        </w:rPr>
        <w:tab/>
      </w:r>
      <w:r w:rsidR="008103AD">
        <w:rPr>
          <w:sz w:val="24"/>
          <w:szCs w:val="24"/>
        </w:rPr>
        <w:t>Shown in the following table</w:t>
      </w:r>
      <w:r>
        <w:rPr>
          <w:sz w:val="24"/>
          <w:szCs w:val="24"/>
        </w:rPr>
        <w:t>:</w:t>
      </w:r>
    </w:p>
    <w:p w:rsidR="003C0384" w:rsidRDefault="003C0384" w:rsidP="00163E6B">
      <w:pPr>
        <w:spacing w:line="480" w:lineRule="auto"/>
        <w:ind w:firstLine="720"/>
        <w:jc w:val="both"/>
        <w:rPr>
          <w:sz w:val="24"/>
          <w:szCs w:val="24"/>
        </w:rPr>
      </w:pPr>
      <w:r w:rsidRPr="00F944AE">
        <w:rPr>
          <w:sz w:val="24"/>
          <w:szCs w:val="24"/>
        </w:rPr>
        <w:t xml:space="preserve">Table </w:t>
      </w:r>
      <w:r w:rsidR="00F944AE" w:rsidRPr="00F944AE">
        <w:rPr>
          <w:sz w:val="24"/>
          <w:szCs w:val="24"/>
        </w:rPr>
        <w:t>BTM-8</w:t>
      </w:r>
      <w:r w:rsidR="00F944AE" w:rsidRPr="00F944AE">
        <w:rPr>
          <w:sz w:val="24"/>
          <w:szCs w:val="24"/>
        </w:rPr>
        <w:tab/>
      </w:r>
      <w:r w:rsidR="00F944AE">
        <w:rPr>
          <w:sz w:val="24"/>
          <w:szCs w:val="24"/>
        </w:rPr>
        <w:tab/>
        <w:t>Wholesale Transmission Rates</w:t>
      </w:r>
    </w:p>
    <w:tbl>
      <w:tblPr>
        <w:tblStyle w:val="TableGrid"/>
        <w:tblW w:w="8910" w:type="dxa"/>
        <w:tblInd w:w="-5" w:type="dxa"/>
        <w:tblLook w:val="04A0" w:firstRow="1" w:lastRow="0" w:firstColumn="1" w:lastColumn="0" w:noHBand="0" w:noVBand="1"/>
      </w:tblPr>
      <w:tblGrid>
        <w:gridCol w:w="3201"/>
        <w:gridCol w:w="1376"/>
        <w:gridCol w:w="1656"/>
        <w:gridCol w:w="2677"/>
      </w:tblGrid>
      <w:tr w:rsidR="003C0384" w:rsidTr="00163E6B">
        <w:tc>
          <w:tcPr>
            <w:tcW w:w="3208" w:type="dxa"/>
          </w:tcPr>
          <w:p w:rsidR="003C0384" w:rsidRDefault="003C0384" w:rsidP="00962E86">
            <w:pPr>
              <w:jc w:val="both"/>
              <w:rPr>
                <w:sz w:val="24"/>
                <w:szCs w:val="24"/>
              </w:rPr>
            </w:pPr>
          </w:p>
        </w:tc>
        <w:tc>
          <w:tcPr>
            <w:tcW w:w="1363" w:type="dxa"/>
            <w:vAlign w:val="bottom"/>
          </w:tcPr>
          <w:p w:rsidR="003C0384" w:rsidRDefault="00C8262C" w:rsidP="00163E6B">
            <w:pPr>
              <w:jc w:val="center"/>
              <w:rPr>
                <w:sz w:val="24"/>
                <w:szCs w:val="24"/>
              </w:rPr>
            </w:pPr>
            <w:r>
              <w:rPr>
                <w:sz w:val="24"/>
                <w:szCs w:val="24"/>
              </w:rPr>
              <w:t>CEHE</w:t>
            </w:r>
            <w:r w:rsidR="00B836F5">
              <w:rPr>
                <w:sz w:val="24"/>
                <w:szCs w:val="24"/>
              </w:rPr>
              <w:t xml:space="preserve"> </w:t>
            </w:r>
            <w:r w:rsidR="003C0384">
              <w:rPr>
                <w:sz w:val="24"/>
                <w:szCs w:val="24"/>
              </w:rPr>
              <w:t>Requested</w:t>
            </w:r>
            <w:r w:rsidR="004830CD">
              <w:rPr>
                <w:rStyle w:val="FootnoteReference"/>
                <w:sz w:val="24"/>
                <w:szCs w:val="24"/>
              </w:rPr>
              <w:footnoteReference w:id="74"/>
            </w:r>
          </w:p>
        </w:tc>
        <w:tc>
          <w:tcPr>
            <w:tcW w:w="1656" w:type="dxa"/>
            <w:vAlign w:val="bottom"/>
          </w:tcPr>
          <w:p w:rsidR="003C0384" w:rsidRDefault="003C0384" w:rsidP="00163E6B">
            <w:pPr>
              <w:jc w:val="center"/>
              <w:rPr>
                <w:sz w:val="24"/>
                <w:szCs w:val="24"/>
              </w:rPr>
            </w:pPr>
            <w:r>
              <w:rPr>
                <w:sz w:val="24"/>
                <w:szCs w:val="24"/>
              </w:rPr>
              <w:t>Staff Recommended</w:t>
            </w:r>
          </w:p>
        </w:tc>
        <w:tc>
          <w:tcPr>
            <w:tcW w:w="2683" w:type="dxa"/>
            <w:vAlign w:val="bottom"/>
          </w:tcPr>
          <w:p w:rsidR="003C0384" w:rsidRDefault="003C0384" w:rsidP="00163E6B">
            <w:pPr>
              <w:jc w:val="center"/>
              <w:rPr>
                <w:sz w:val="24"/>
                <w:szCs w:val="24"/>
              </w:rPr>
            </w:pPr>
            <w:r>
              <w:rPr>
                <w:sz w:val="24"/>
                <w:szCs w:val="24"/>
              </w:rPr>
              <w:t>Billing Basis</w:t>
            </w:r>
          </w:p>
        </w:tc>
      </w:tr>
      <w:tr w:rsidR="003C0384" w:rsidTr="00163E6B">
        <w:tc>
          <w:tcPr>
            <w:tcW w:w="3208" w:type="dxa"/>
          </w:tcPr>
          <w:p w:rsidR="003C0384" w:rsidRDefault="003C0384" w:rsidP="00962E86">
            <w:pPr>
              <w:jc w:val="both"/>
              <w:rPr>
                <w:sz w:val="24"/>
                <w:szCs w:val="24"/>
              </w:rPr>
            </w:pPr>
            <w:r>
              <w:rPr>
                <w:sz w:val="24"/>
                <w:szCs w:val="24"/>
              </w:rPr>
              <w:t>Annual access fee</w:t>
            </w:r>
          </w:p>
        </w:tc>
        <w:tc>
          <w:tcPr>
            <w:tcW w:w="1363" w:type="dxa"/>
          </w:tcPr>
          <w:p w:rsidR="003C0384" w:rsidRPr="00B836F5" w:rsidRDefault="00856986" w:rsidP="00CD62DC">
            <w:pPr>
              <w:jc w:val="right"/>
              <w:rPr>
                <w:sz w:val="24"/>
                <w:szCs w:val="24"/>
                <w:highlight w:val="green"/>
              </w:rPr>
            </w:pPr>
            <w:r>
              <w:rPr>
                <w:sz w:val="24"/>
                <w:szCs w:val="24"/>
              </w:rPr>
              <w:t>$</w:t>
            </w:r>
            <w:r w:rsidRPr="00856986">
              <w:rPr>
                <w:sz w:val="24"/>
                <w:szCs w:val="24"/>
              </w:rPr>
              <w:t>5.7056723</w:t>
            </w:r>
          </w:p>
        </w:tc>
        <w:tc>
          <w:tcPr>
            <w:tcW w:w="1656" w:type="dxa"/>
          </w:tcPr>
          <w:p w:rsidR="003C0384" w:rsidRPr="00B836F5" w:rsidRDefault="00604CA4" w:rsidP="00CD62DC">
            <w:pPr>
              <w:jc w:val="right"/>
              <w:rPr>
                <w:sz w:val="24"/>
                <w:szCs w:val="24"/>
                <w:highlight w:val="green"/>
              </w:rPr>
            </w:pPr>
            <w:bookmarkStart w:id="18" w:name="OLE_LINK7"/>
            <w:r>
              <w:rPr>
                <w:sz w:val="24"/>
                <w:szCs w:val="24"/>
              </w:rPr>
              <w:t>$</w:t>
            </w:r>
            <w:bookmarkStart w:id="19" w:name="OLE_LINK9"/>
            <w:r w:rsidR="00323ED8" w:rsidRPr="00323ED8">
              <w:rPr>
                <w:sz w:val="24"/>
                <w:szCs w:val="24"/>
              </w:rPr>
              <w:t>4.8569719</w:t>
            </w:r>
            <w:bookmarkEnd w:id="18"/>
            <w:bookmarkEnd w:id="19"/>
          </w:p>
        </w:tc>
        <w:tc>
          <w:tcPr>
            <w:tcW w:w="2683" w:type="dxa"/>
          </w:tcPr>
          <w:p w:rsidR="003C0384" w:rsidRDefault="003C0384" w:rsidP="00C94A95">
            <w:pPr>
              <w:jc w:val="right"/>
              <w:rPr>
                <w:sz w:val="24"/>
                <w:szCs w:val="24"/>
              </w:rPr>
            </w:pPr>
            <w:r>
              <w:rPr>
                <w:sz w:val="24"/>
                <w:szCs w:val="24"/>
              </w:rPr>
              <w:t xml:space="preserve">per </w:t>
            </w:r>
            <w:r w:rsidR="00C94A95">
              <w:rPr>
                <w:sz w:val="24"/>
                <w:szCs w:val="24"/>
              </w:rPr>
              <w:t>kilowatt</w:t>
            </w:r>
            <w:r>
              <w:rPr>
                <w:sz w:val="24"/>
                <w:szCs w:val="24"/>
              </w:rPr>
              <w:t xml:space="preserve"> of ERCOT AVG 4CP demand</w:t>
            </w:r>
          </w:p>
        </w:tc>
      </w:tr>
      <w:tr w:rsidR="003C0384" w:rsidTr="00163E6B">
        <w:tc>
          <w:tcPr>
            <w:tcW w:w="3208" w:type="dxa"/>
          </w:tcPr>
          <w:p w:rsidR="003C0384" w:rsidRDefault="003C0384" w:rsidP="00962E86">
            <w:pPr>
              <w:jc w:val="both"/>
              <w:rPr>
                <w:sz w:val="24"/>
                <w:szCs w:val="24"/>
              </w:rPr>
            </w:pPr>
            <w:r>
              <w:rPr>
                <w:sz w:val="24"/>
                <w:szCs w:val="24"/>
              </w:rPr>
              <w:lastRenderedPageBreak/>
              <w:t>Monthly On-Peak Export Rate</w:t>
            </w:r>
          </w:p>
        </w:tc>
        <w:tc>
          <w:tcPr>
            <w:tcW w:w="1363" w:type="dxa"/>
          </w:tcPr>
          <w:p w:rsidR="003C0384" w:rsidRPr="006D5D97" w:rsidRDefault="006D5D97" w:rsidP="00CD62DC">
            <w:pPr>
              <w:jc w:val="right"/>
              <w:rPr>
                <w:sz w:val="24"/>
                <w:szCs w:val="24"/>
              </w:rPr>
            </w:pPr>
            <w:r w:rsidRPr="006D5D97">
              <w:rPr>
                <w:sz w:val="24"/>
                <w:szCs w:val="24"/>
              </w:rPr>
              <w:t>$1.426418</w:t>
            </w:r>
          </w:p>
        </w:tc>
        <w:tc>
          <w:tcPr>
            <w:tcW w:w="1656" w:type="dxa"/>
          </w:tcPr>
          <w:p w:rsidR="003C0384" w:rsidRPr="00B836F5" w:rsidRDefault="00F34B5E" w:rsidP="00CD62DC">
            <w:pPr>
              <w:jc w:val="right"/>
              <w:rPr>
                <w:sz w:val="24"/>
                <w:szCs w:val="24"/>
                <w:highlight w:val="green"/>
              </w:rPr>
            </w:pPr>
            <w:r>
              <w:rPr>
                <w:sz w:val="24"/>
                <w:szCs w:val="24"/>
              </w:rPr>
              <w:t>$</w:t>
            </w:r>
            <w:r w:rsidR="00323ED8" w:rsidRPr="00323ED8">
              <w:rPr>
                <w:sz w:val="24"/>
                <w:szCs w:val="24"/>
              </w:rPr>
              <w:t>1.214243</w:t>
            </w:r>
          </w:p>
        </w:tc>
        <w:tc>
          <w:tcPr>
            <w:tcW w:w="2683" w:type="dxa"/>
          </w:tcPr>
          <w:p w:rsidR="003C0384" w:rsidRDefault="003C0384" w:rsidP="00C94A95">
            <w:pPr>
              <w:jc w:val="right"/>
              <w:rPr>
                <w:sz w:val="24"/>
                <w:szCs w:val="24"/>
              </w:rPr>
            </w:pPr>
            <w:r>
              <w:rPr>
                <w:sz w:val="24"/>
                <w:szCs w:val="24"/>
              </w:rPr>
              <w:t xml:space="preserve">per </w:t>
            </w:r>
            <w:r w:rsidR="00C94A95">
              <w:rPr>
                <w:sz w:val="24"/>
                <w:szCs w:val="24"/>
              </w:rPr>
              <w:t>kilowatt</w:t>
            </w:r>
            <w:r w:rsidR="00760B55">
              <w:rPr>
                <w:sz w:val="24"/>
                <w:szCs w:val="24"/>
              </w:rPr>
              <w:t>-month</w:t>
            </w:r>
          </w:p>
        </w:tc>
      </w:tr>
      <w:tr w:rsidR="003C0384" w:rsidTr="00163E6B">
        <w:tc>
          <w:tcPr>
            <w:tcW w:w="3208" w:type="dxa"/>
          </w:tcPr>
          <w:p w:rsidR="003C0384" w:rsidRDefault="003C0384" w:rsidP="00962E86">
            <w:pPr>
              <w:jc w:val="both"/>
              <w:rPr>
                <w:sz w:val="24"/>
                <w:szCs w:val="24"/>
              </w:rPr>
            </w:pPr>
            <w:r>
              <w:rPr>
                <w:sz w:val="24"/>
                <w:szCs w:val="24"/>
              </w:rPr>
              <w:t>Monthly Off-Peak Export Rate</w:t>
            </w:r>
          </w:p>
        </w:tc>
        <w:tc>
          <w:tcPr>
            <w:tcW w:w="1363" w:type="dxa"/>
          </w:tcPr>
          <w:p w:rsidR="003C0384" w:rsidRPr="006D5D97" w:rsidRDefault="006D5D97" w:rsidP="00CD62DC">
            <w:pPr>
              <w:jc w:val="right"/>
              <w:rPr>
                <w:sz w:val="24"/>
                <w:szCs w:val="24"/>
              </w:rPr>
            </w:pPr>
            <w:r w:rsidRPr="006D5D97">
              <w:rPr>
                <w:sz w:val="24"/>
                <w:szCs w:val="24"/>
              </w:rPr>
              <w:t>$0.475473</w:t>
            </w:r>
          </w:p>
        </w:tc>
        <w:tc>
          <w:tcPr>
            <w:tcW w:w="1656" w:type="dxa"/>
          </w:tcPr>
          <w:p w:rsidR="003C0384" w:rsidRPr="00B836F5" w:rsidRDefault="00F34B5E" w:rsidP="00CD62DC">
            <w:pPr>
              <w:jc w:val="right"/>
              <w:rPr>
                <w:sz w:val="24"/>
                <w:szCs w:val="24"/>
                <w:highlight w:val="green"/>
              </w:rPr>
            </w:pPr>
            <w:r>
              <w:rPr>
                <w:sz w:val="24"/>
                <w:szCs w:val="24"/>
              </w:rPr>
              <w:t>$</w:t>
            </w:r>
            <w:r w:rsidR="00323ED8">
              <w:rPr>
                <w:sz w:val="24"/>
                <w:szCs w:val="24"/>
              </w:rPr>
              <w:t>0.404748</w:t>
            </w:r>
          </w:p>
        </w:tc>
        <w:tc>
          <w:tcPr>
            <w:tcW w:w="2683" w:type="dxa"/>
          </w:tcPr>
          <w:p w:rsidR="003C0384" w:rsidRDefault="003C0384" w:rsidP="00C94A95">
            <w:pPr>
              <w:jc w:val="right"/>
              <w:rPr>
                <w:sz w:val="24"/>
                <w:szCs w:val="24"/>
              </w:rPr>
            </w:pPr>
            <w:r>
              <w:rPr>
                <w:sz w:val="24"/>
                <w:szCs w:val="24"/>
              </w:rPr>
              <w:t xml:space="preserve">per </w:t>
            </w:r>
            <w:r w:rsidR="00C94A95">
              <w:rPr>
                <w:sz w:val="24"/>
                <w:szCs w:val="24"/>
              </w:rPr>
              <w:t>kilowatt</w:t>
            </w:r>
            <w:r w:rsidR="00760B55">
              <w:rPr>
                <w:sz w:val="24"/>
                <w:szCs w:val="24"/>
              </w:rPr>
              <w:t>-month</w:t>
            </w:r>
          </w:p>
        </w:tc>
      </w:tr>
    </w:tbl>
    <w:p w:rsidR="002B1953" w:rsidRDefault="002B1953" w:rsidP="00C02D71">
      <w:pPr>
        <w:suppressLineNumbers/>
        <w:rPr>
          <w:b/>
          <w:sz w:val="24"/>
          <w:szCs w:val="24"/>
        </w:rPr>
      </w:pPr>
    </w:p>
    <w:p w:rsidR="0002470E" w:rsidRDefault="0002470E" w:rsidP="002B1953">
      <w:pPr>
        <w:spacing w:line="480" w:lineRule="auto"/>
        <w:ind w:left="720" w:hanging="720"/>
        <w:rPr>
          <w:b/>
          <w:sz w:val="24"/>
          <w:szCs w:val="24"/>
        </w:rPr>
      </w:pPr>
      <w:r w:rsidRPr="0002470E">
        <w:rPr>
          <w:b/>
          <w:sz w:val="24"/>
          <w:szCs w:val="24"/>
        </w:rPr>
        <w:t>Q.</w:t>
      </w:r>
      <w:r w:rsidRPr="0002470E">
        <w:rPr>
          <w:b/>
          <w:sz w:val="24"/>
          <w:szCs w:val="24"/>
        </w:rPr>
        <w:tab/>
      </w:r>
      <w:r w:rsidR="002B1953">
        <w:rPr>
          <w:b/>
          <w:sz w:val="24"/>
          <w:szCs w:val="24"/>
        </w:rPr>
        <w:t>Does Staff’s adjustment to wholesale TCOS have a flow-through effect on the Company’s retail cost of service?</w:t>
      </w:r>
    </w:p>
    <w:p w:rsidR="002B1953" w:rsidRDefault="002B1953" w:rsidP="00C84221">
      <w:pPr>
        <w:spacing w:line="480" w:lineRule="auto"/>
        <w:ind w:left="720" w:hanging="720"/>
        <w:jc w:val="both"/>
        <w:rPr>
          <w:sz w:val="24"/>
          <w:szCs w:val="24"/>
        </w:rPr>
      </w:pPr>
      <w:r w:rsidRPr="002B1953">
        <w:rPr>
          <w:sz w:val="24"/>
          <w:szCs w:val="24"/>
        </w:rPr>
        <w:t>A.</w:t>
      </w:r>
      <w:r w:rsidRPr="002B1953">
        <w:rPr>
          <w:sz w:val="24"/>
          <w:szCs w:val="24"/>
        </w:rPr>
        <w:tab/>
      </w:r>
      <w:r>
        <w:rPr>
          <w:sz w:val="24"/>
          <w:szCs w:val="24"/>
        </w:rPr>
        <w:t xml:space="preserve">Yes.  As stated above, for every dollar that goes into </w:t>
      </w:r>
      <w:r w:rsidR="00C8262C">
        <w:rPr>
          <w:sz w:val="24"/>
          <w:szCs w:val="24"/>
        </w:rPr>
        <w:t>CEHE</w:t>
      </w:r>
      <w:r>
        <w:rPr>
          <w:sz w:val="24"/>
          <w:szCs w:val="24"/>
        </w:rPr>
        <w:t xml:space="preserve">’s wholesale TCOS, </w:t>
      </w:r>
      <w:r w:rsidR="00C8262C">
        <w:rPr>
          <w:sz w:val="24"/>
          <w:szCs w:val="24"/>
        </w:rPr>
        <w:t>CEHE</w:t>
      </w:r>
      <w:r>
        <w:rPr>
          <w:sz w:val="24"/>
          <w:szCs w:val="24"/>
        </w:rPr>
        <w:t xml:space="preserve">’s retail customers will bear approximately 25 cents on the dollar in their retail rates in the form of ERCOT transmission payments.  Conversely, every dollar </w:t>
      </w:r>
      <w:r w:rsidR="00B6302B">
        <w:rPr>
          <w:sz w:val="24"/>
          <w:szCs w:val="24"/>
        </w:rPr>
        <w:t>removed from</w:t>
      </w:r>
      <w:r>
        <w:rPr>
          <w:sz w:val="24"/>
          <w:szCs w:val="24"/>
        </w:rPr>
        <w:t xml:space="preserve"> </w:t>
      </w:r>
      <w:r w:rsidR="00925B18">
        <w:rPr>
          <w:sz w:val="24"/>
          <w:szCs w:val="24"/>
        </w:rPr>
        <w:t xml:space="preserve">wholesale </w:t>
      </w:r>
      <w:r>
        <w:rPr>
          <w:sz w:val="24"/>
          <w:szCs w:val="24"/>
        </w:rPr>
        <w:t xml:space="preserve">TCOS results in 25 cents in avoided ERCOT transmission payments for </w:t>
      </w:r>
      <w:r w:rsidR="00C8262C">
        <w:rPr>
          <w:sz w:val="24"/>
          <w:szCs w:val="24"/>
        </w:rPr>
        <w:t>CEHE</w:t>
      </w:r>
      <w:r>
        <w:rPr>
          <w:sz w:val="24"/>
          <w:szCs w:val="24"/>
        </w:rPr>
        <w:t xml:space="preserve">’s </w:t>
      </w:r>
      <w:r w:rsidR="00925B18">
        <w:rPr>
          <w:sz w:val="24"/>
          <w:szCs w:val="24"/>
        </w:rPr>
        <w:t xml:space="preserve">retail </w:t>
      </w:r>
      <w:r>
        <w:rPr>
          <w:sz w:val="24"/>
          <w:szCs w:val="24"/>
        </w:rPr>
        <w:t>customers.</w:t>
      </w:r>
    </w:p>
    <w:p w:rsidR="002B1953" w:rsidRPr="002B1953" w:rsidRDefault="002B1953" w:rsidP="00C84221">
      <w:pPr>
        <w:spacing w:line="480" w:lineRule="auto"/>
        <w:ind w:left="720" w:hanging="720"/>
        <w:jc w:val="both"/>
        <w:rPr>
          <w:b/>
          <w:sz w:val="24"/>
          <w:szCs w:val="24"/>
        </w:rPr>
      </w:pPr>
      <w:r w:rsidRPr="002B1953">
        <w:rPr>
          <w:b/>
          <w:sz w:val="24"/>
          <w:szCs w:val="24"/>
        </w:rPr>
        <w:t>Q.</w:t>
      </w:r>
      <w:r w:rsidRPr="002B1953">
        <w:rPr>
          <w:b/>
          <w:sz w:val="24"/>
          <w:szCs w:val="24"/>
        </w:rPr>
        <w:tab/>
        <w:t xml:space="preserve">What </w:t>
      </w:r>
      <w:r w:rsidR="00C84221">
        <w:rPr>
          <w:b/>
          <w:sz w:val="24"/>
          <w:szCs w:val="24"/>
        </w:rPr>
        <w:t xml:space="preserve">are </w:t>
      </w:r>
      <w:r w:rsidR="00C8262C">
        <w:rPr>
          <w:b/>
          <w:sz w:val="24"/>
          <w:szCs w:val="24"/>
        </w:rPr>
        <w:t>CEHE</w:t>
      </w:r>
      <w:r w:rsidR="00C84221">
        <w:rPr>
          <w:b/>
          <w:sz w:val="24"/>
          <w:szCs w:val="24"/>
        </w:rPr>
        <w:t xml:space="preserve">’s </w:t>
      </w:r>
      <w:r w:rsidRPr="002B1953">
        <w:rPr>
          <w:b/>
          <w:sz w:val="24"/>
          <w:szCs w:val="24"/>
        </w:rPr>
        <w:t>ERCOT transmission payments consistent with Staff’s recommended wholesale TCOS?</w:t>
      </w:r>
    </w:p>
    <w:p w:rsidR="002B1953" w:rsidRDefault="002B1953" w:rsidP="00C84221">
      <w:pPr>
        <w:spacing w:line="480" w:lineRule="auto"/>
        <w:ind w:left="720" w:hanging="720"/>
        <w:jc w:val="both"/>
        <w:rPr>
          <w:sz w:val="24"/>
          <w:szCs w:val="24"/>
        </w:rPr>
      </w:pPr>
      <w:r>
        <w:rPr>
          <w:sz w:val="24"/>
          <w:szCs w:val="24"/>
        </w:rPr>
        <w:t>A.</w:t>
      </w:r>
      <w:r>
        <w:rPr>
          <w:sz w:val="24"/>
          <w:szCs w:val="24"/>
        </w:rPr>
        <w:tab/>
      </w:r>
      <w:r w:rsidR="00611070">
        <w:rPr>
          <w:sz w:val="24"/>
          <w:szCs w:val="24"/>
        </w:rPr>
        <w:t xml:space="preserve">CEHE’s ERCOT transmission payments consistent with Staff’s recommended wholesale TCOS amounts to </w:t>
      </w:r>
      <w:r w:rsidR="00C84221">
        <w:rPr>
          <w:sz w:val="24"/>
          <w:szCs w:val="24"/>
        </w:rPr>
        <w:t>$927,</w:t>
      </w:r>
      <w:r w:rsidR="00CA2B63">
        <w:rPr>
          <w:sz w:val="24"/>
          <w:szCs w:val="24"/>
        </w:rPr>
        <w:t>700</w:t>
      </w:r>
      <w:r w:rsidR="00C84221">
        <w:rPr>
          <w:sz w:val="24"/>
          <w:szCs w:val="24"/>
        </w:rPr>
        <w:t>,</w:t>
      </w:r>
      <w:r w:rsidR="00CA2B63">
        <w:rPr>
          <w:sz w:val="24"/>
          <w:szCs w:val="24"/>
        </w:rPr>
        <w:t>584</w:t>
      </w:r>
      <w:r w:rsidR="00C84221">
        <w:rPr>
          <w:sz w:val="24"/>
          <w:szCs w:val="24"/>
        </w:rPr>
        <w:t>, which represents a downward adjustment of $</w:t>
      </w:r>
      <w:r w:rsidR="009B62E5">
        <w:rPr>
          <w:sz w:val="24"/>
          <w:szCs w:val="24"/>
        </w:rPr>
        <w:t>14,702,361</w:t>
      </w:r>
      <w:r w:rsidR="00C84221">
        <w:rPr>
          <w:sz w:val="24"/>
          <w:szCs w:val="24"/>
        </w:rPr>
        <w:t xml:space="preserve"> as compared to </w:t>
      </w:r>
      <w:r w:rsidR="00C8262C">
        <w:rPr>
          <w:sz w:val="24"/>
          <w:szCs w:val="24"/>
        </w:rPr>
        <w:t>CEHE</w:t>
      </w:r>
      <w:r w:rsidR="00C84221">
        <w:rPr>
          <w:sz w:val="24"/>
          <w:szCs w:val="24"/>
        </w:rPr>
        <w:t xml:space="preserve">’s requested ERCOT transmission payments in the amount of </w:t>
      </w:r>
      <w:r w:rsidR="00C84221" w:rsidRPr="00C84221">
        <w:rPr>
          <w:sz w:val="24"/>
          <w:szCs w:val="24"/>
        </w:rPr>
        <w:t>$942,402,945</w:t>
      </w:r>
      <w:r w:rsidR="00C84221">
        <w:rPr>
          <w:sz w:val="24"/>
          <w:szCs w:val="24"/>
        </w:rPr>
        <w:t>.</w:t>
      </w:r>
      <w:r w:rsidR="00C84221">
        <w:rPr>
          <w:rStyle w:val="FootnoteReference"/>
          <w:sz w:val="24"/>
          <w:szCs w:val="24"/>
        </w:rPr>
        <w:footnoteReference w:id="75"/>
      </w:r>
    </w:p>
    <w:p w:rsidR="00C576F0" w:rsidRDefault="00C576F0" w:rsidP="00C84221">
      <w:pPr>
        <w:spacing w:line="480" w:lineRule="auto"/>
        <w:ind w:left="720" w:hanging="720"/>
        <w:jc w:val="both"/>
        <w:rPr>
          <w:b/>
          <w:sz w:val="24"/>
          <w:szCs w:val="24"/>
        </w:rPr>
      </w:pPr>
      <w:r w:rsidRPr="00C576F0">
        <w:rPr>
          <w:b/>
          <w:sz w:val="24"/>
          <w:szCs w:val="24"/>
        </w:rPr>
        <w:t>Q.</w:t>
      </w:r>
      <w:r w:rsidRPr="00C576F0">
        <w:rPr>
          <w:b/>
          <w:sz w:val="24"/>
          <w:szCs w:val="24"/>
        </w:rPr>
        <w:tab/>
      </w:r>
      <w:r>
        <w:rPr>
          <w:b/>
          <w:sz w:val="24"/>
          <w:szCs w:val="24"/>
        </w:rPr>
        <w:t>Have you implemented th</w:t>
      </w:r>
      <w:r w:rsidR="008A6757">
        <w:rPr>
          <w:b/>
          <w:sz w:val="24"/>
          <w:szCs w:val="24"/>
        </w:rPr>
        <w:t>e</w:t>
      </w:r>
      <w:r>
        <w:rPr>
          <w:b/>
          <w:sz w:val="24"/>
          <w:szCs w:val="24"/>
        </w:rPr>
        <w:t xml:space="preserve"> adjustment in </w:t>
      </w:r>
      <w:r w:rsidR="008A6757">
        <w:rPr>
          <w:b/>
          <w:sz w:val="24"/>
          <w:szCs w:val="24"/>
        </w:rPr>
        <w:t xml:space="preserve">developing </w:t>
      </w:r>
      <w:r>
        <w:rPr>
          <w:b/>
          <w:sz w:val="24"/>
          <w:szCs w:val="24"/>
        </w:rPr>
        <w:t xml:space="preserve">Staff’s </w:t>
      </w:r>
      <w:r w:rsidR="008A6757">
        <w:rPr>
          <w:b/>
          <w:sz w:val="24"/>
          <w:szCs w:val="24"/>
        </w:rPr>
        <w:t xml:space="preserve">recommended </w:t>
      </w:r>
      <w:r w:rsidR="00C408DA">
        <w:rPr>
          <w:b/>
          <w:sz w:val="24"/>
          <w:szCs w:val="24"/>
        </w:rPr>
        <w:t xml:space="preserve">wholesale and retail </w:t>
      </w:r>
      <w:r>
        <w:rPr>
          <w:b/>
          <w:sz w:val="24"/>
          <w:szCs w:val="24"/>
        </w:rPr>
        <w:t xml:space="preserve">cost </w:t>
      </w:r>
      <w:r w:rsidR="00C408DA">
        <w:rPr>
          <w:b/>
          <w:sz w:val="24"/>
          <w:szCs w:val="24"/>
        </w:rPr>
        <w:t>of service</w:t>
      </w:r>
      <w:r>
        <w:rPr>
          <w:b/>
          <w:sz w:val="24"/>
          <w:szCs w:val="24"/>
        </w:rPr>
        <w:t>?</w:t>
      </w:r>
    </w:p>
    <w:p w:rsidR="00C576F0" w:rsidRPr="00C576F0" w:rsidRDefault="008A6757" w:rsidP="00C84221">
      <w:pPr>
        <w:spacing w:line="480" w:lineRule="auto"/>
        <w:ind w:left="720" w:hanging="720"/>
        <w:jc w:val="both"/>
        <w:rPr>
          <w:sz w:val="24"/>
          <w:szCs w:val="24"/>
        </w:rPr>
      </w:pPr>
      <w:r>
        <w:rPr>
          <w:sz w:val="24"/>
          <w:szCs w:val="24"/>
        </w:rPr>
        <w:t>A.</w:t>
      </w:r>
      <w:r>
        <w:rPr>
          <w:sz w:val="24"/>
          <w:szCs w:val="24"/>
        </w:rPr>
        <w:tab/>
        <w:t>Yes</w:t>
      </w:r>
      <w:r w:rsidR="00C576F0">
        <w:rPr>
          <w:sz w:val="24"/>
          <w:szCs w:val="24"/>
        </w:rPr>
        <w:t xml:space="preserve">.  </w:t>
      </w:r>
      <w:r w:rsidR="00C408DA">
        <w:rPr>
          <w:sz w:val="24"/>
          <w:szCs w:val="24"/>
        </w:rPr>
        <w:t xml:space="preserve">The correct amount of ERCOT transmission payments to be borne by each class can be seen in </w:t>
      </w:r>
      <w:r w:rsidR="00D16E3C">
        <w:rPr>
          <w:sz w:val="24"/>
          <w:szCs w:val="24"/>
        </w:rPr>
        <w:t>“</w:t>
      </w:r>
      <w:r w:rsidR="00C408DA">
        <w:rPr>
          <w:sz w:val="24"/>
          <w:szCs w:val="24"/>
        </w:rPr>
        <w:t>WP</w:t>
      </w:r>
      <w:r w:rsidR="00D16E3C">
        <w:rPr>
          <w:sz w:val="24"/>
          <w:szCs w:val="24"/>
        </w:rPr>
        <w:t>_ERCOT pmt” in Staff’s cost study</w:t>
      </w:r>
      <w:r w:rsidR="002370D2">
        <w:rPr>
          <w:sz w:val="24"/>
          <w:szCs w:val="24"/>
        </w:rPr>
        <w:t>,</w:t>
      </w:r>
      <w:r w:rsidR="00D16E3C">
        <w:rPr>
          <w:sz w:val="24"/>
          <w:szCs w:val="24"/>
        </w:rPr>
        <w:t xml:space="preserve"> included in my </w:t>
      </w:r>
      <w:r w:rsidR="002370D2">
        <w:rPr>
          <w:sz w:val="24"/>
          <w:szCs w:val="24"/>
        </w:rPr>
        <w:t xml:space="preserve">electronic </w:t>
      </w:r>
      <w:r w:rsidR="00D16E3C">
        <w:rPr>
          <w:sz w:val="24"/>
          <w:szCs w:val="24"/>
        </w:rPr>
        <w:t>workpapers.</w:t>
      </w:r>
    </w:p>
    <w:p w:rsidR="00E46946" w:rsidRDefault="00550CEC" w:rsidP="003551CC">
      <w:pPr>
        <w:pStyle w:val="Heading1"/>
        <w:numPr>
          <w:ilvl w:val="0"/>
          <w:numId w:val="1"/>
        </w:numPr>
        <w:spacing w:line="480" w:lineRule="auto"/>
        <w:jc w:val="both"/>
        <w:rPr>
          <w:sz w:val="24"/>
          <w:szCs w:val="24"/>
        </w:rPr>
      </w:pPr>
      <w:bookmarkStart w:id="20" w:name="_Toc11215210"/>
      <w:r>
        <w:rPr>
          <w:sz w:val="24"/>
          <w:szCs w:val="24"/>
        </w:rPr>
        <w:lastRenderedPageBreak/>
        <w:t xml:space="preserve">RETAIL </w:t>
      </w:r>
      <w:r w:rsidR="00E46946">
        <w:rPr>
          <w:sz w:val="24"/>
          <w:szCs w:val="24"/>
        </w:rPr>
        <w:t>CLASS COST ALLOCATION</w:t>
      </w:r>
      <w:bookmarkEnd w:id="20"/>
    </w:p>
    <w:p w:rsidR="003D2747" w:rsidRPr="00AE3B74" w:rsidRDefault="003D2747" w:rsidP="003D2747">
      <w:pPr>
        <w:spacing w:line="480" w:lineRule="auto"/>
        <w:ind w:left="720" w:hanging="720"/>
        <w:jc w:val="both"/>
        <w:rPr>
          <w:b/>
          <w:sz w:val="24"/>
          <w:szCs w:val="24"/>
        </w:rPr>
      </w:pPr>
      <w:r w:rsidRPr="00AE3B74">
        <w:rPr>
          <w:b/>
          <w:sz w:val="24"/>
          <w:szCs w:val="24"/>
        </w:rPr>
        <w:t>Q.</w:t>
      </w:r>
      <w:r w:rsidRPr="00AE3B74">
        <w:rPr>
          <w:b/>
          <w:sz w:val="24"/>
          <w:szCs w:val="24"/>
        </w:rPr>
        <w:tab/>
      </w:r>
      <w:r w:rsidR="0007634F">
        <w:rPr>
          <w:b/>
          <w:sz w:val="24"/>
          <w:szCs w:val="24"/>
        </w:rPr>
        <w:t>Switching from the wholesale to the retail side</w:t>
      </w:r>
      <w:r w:rsidR="00264228">
        <w:rPr>
          <w:b/>
          <w:sz w:val="24"/>
          <w:szCs w:val="24"/>
        </w:rPr>
        <w:t xml:space="preserve"> of </w:t>
      </w:r>
      <w:r w:rsidR="00C8262C">
        <w:rPr>
          <w:b/>
          <w:sz w:val="24"/>
          <w:szCs w:val="24"/>
        </w:rPr>
        <w:t>CEHE</w:t>
      </w:r>
      <w:r w:rsidR="00264228">
        <w:rPr>
          <w:b/>
          <w:sz w:val="24"/>
          <w:szCs w:val="24"/>
        </w:rPr>
        <w:t>’s business</w:t>
      </w:r>
      <w:r w:rsidR="0007634F">
        <w:rPr>
          <w:b/>
          <w:sz w:val="24"/>
          <w:szCs w:val="24"/>
        </w:rPr>
        <w:t>, w</w:t>
      </w:r>
      <w:r w:rsidRPr="00AE3B74">
        <w:rPr>
          <w:b/>
          <w:sz w:val="24"/>
          <w:szCs w:val="24"/>
        </w:rPr>
        <w:t xml:space="preserve">hat is </w:t>
      </w:r>
      <w:r w:rsidR="00C8262C">
        <w:rPr>
          <w:b/>
          <w:sz w:val="24"/>
          <w:szCs w:val="24"/>
        </w:rPr>
        <w:t>CEHE</w:t>
      </w:r>
      <w:r w:rsidRPr="00AE3B74">
        <w:rPr>
          <w:b/>
          <w:sz w:val="24"/>
          <w:szCs w:val="24"/>
        </w:rPr>
        <w:t xml:space="preserve">’s </w:t>
      </w:r>
      <w:r>
        <w:rPr>
          <w:b/>
          <w:sz w:val="24"/>
          <w:szCs w:val="24"/>
        </w:rPr>
        <w:t xml:space="preserve">overall </w:t>
      </w:r>
      <w:r w:rsidRPr="00AE3B74">
        <w:rPr>
          <w:b/>
          <w:sz w:val="24"/>
          <w:szCs w:val="24"/>
        </w:rPr>
        <w:t xml:space="preserve">retail delivery </w:t>
      </w:r>
      <w:r w:rsidR="00084F89">
        <w:rPr>
          <w:b/>
          <w:sz w:val="24"/>
          <w:szCs w:val="24"/>
        </w:rPr>
        <w:t>cost of service</w:t>
      </w:r>
      <w:r w:rsidRPr="00AE3B74">
        <w:rPr>
          <w:b/>
          <w:sz w:val="24"/>
          <w:szCs w:val="24"/>
        </w:rPr>
        <w:t xml:space="preserve"> consistent with Staff’s adjustments?</w:t>
      </w:r>
    </w:p>
    <w:p w:rsidR="003D2747" w:rsidRDefault="003D2747" w:rsidP="003D2747">
      <w:pPr>
        <w:spacing w:line="480" w:lineRule="auto"/>
        <w:ind w:left="720" w:hanging="720"/>
        <w:jc w:val="both"/>
        <w:rPr>
          <w:sz w:val="24"/>
          <w:szCs w:val="24"/>
        </w:rPr>
      </w:pPr>
      <w:r>
        <w:rPr>
          <w:sz w:val="24"/>
          <w:szCs w:val="24"/>
        </w:rPr>
        <w:t>A.</w:t>
      </w:r>
      <w:r>
        <w:rPr>
          <w:sz w:val="24"/>
          <w:szCs w:val="24"/>
        </w:rPr>
        <w:tab/>
      </w:r>
      <w:r w:rsidR="009F3537">
        <w:rPr>
          <w:sz w:val="24"/>
          <w:szCs w:val="24"/>
        </w:rPr>
        <w:t xml:space="preserve">CEHE’s Staff-adjusted retail delivery cost of service is </w:t>
      </w:r>
      <w:r w:rsidR="000F749E">
        <w:rPr>
          <w:sz w:val="24"/>
          <w:szCs w:val="24"/>
        </w:rPr>
        <w:t>$</w:t>
      </w:r>
      <w:r w:rsidR="000F749E" w:rsidRPr="000F749E">
        <w:rPr>
          <w:sz w:val="24"/>
          <w:szCs w:val="24"/>
        </w:rPr>
        <w:t>2</w:t>
      </w:r>
      <w:r w:rsidR="000F749E">
        <w:rPr>
          <w:sz w:val="24"/>
          <w:szCs w:val="24"/>
        </w:rPr>
        <w:t>,</w:t>
      </w:r>
      <w:r w:rsidR="00FA6E25">
        <w:rPr>
          <w:sz w:val="24"/>
          <w:szCs w:val="24"/>
        </w:rPr>
        <w:t>170</w:t>
      </w:r>
      <w:r w:rsidR="000F749E">
        <w:rPr>
          <w:sz w:val="24"/>
          <w:szCs w:val="24"/>
        </w:rPr>
        <w:t>,</w:t>
      </w:r>
      <w:r w:rsidR="000E410F">
        <w:rPr>
          <w:sz w:val="24"/>
          <w:szCs w:val="24"/>
        </w:rPr>
        <w:t>408</w:t>
      </w:r>
      <w:r w:rsidR="000F749E">
        <w:rPr>
          <w:sz w:val="24"/>
          <w:szCs w:val="24"/>
        </w:rPr>
        <w:t>,</w:t>
      </w:r>
      <w:r w:rsidR="000E410F">
        <w:rPr>
          <w:sz w:val="24"/>
          <w:szCs w:val="24"/>
        </w:rPr>
        <w:t>898</w:t>
      </w:r>
      <w:r>
        <w:rPr>
          <w:sz w:val="24"/>
          <w:szCs w:val="24"/>
        </w:rPr>
        <w:t>,</w:t>
      </w:r>
      <w:r w:rsidR="003162F2">
        <w:rPr>
          <w:rStyle w:val="FootnoteReference"/>
          <w:sz w:val="24"/>
          <w:szCs w:val="24"/>
        </w:rPr>
        <w:footnoteReference w:id="76"/>
      </w:r>
      <w:r>
        <w:rPr>
          <w:sz w:val="24"/>
          <w:szCs w:val="24"/>
        </w:rPr>
        <w:t xml:space="preserve"> which represents a </w:t>
      </w:r>
      <w:r w:rsidR="00B97F89">
        <w:rPr>
          <w:sz w:val="24"/>
          <w:szCs w:val="24"/>
        </w:rPr>
        <w:t>downward adjustment of $</w:t>
      </w:r>
      <w:r w:rsidR="000E410F">
        <w:rPr>
          <w:sz w:val="24"/>
          <w:szCs w:val="24"/>
        </w:rPr>
        <w:t>111,795,782</w:t>
      </w:r>
      <w:r w:rsidR="00B97F89">
        <w:rPr>
          <w:sz w:val="24"/>
          <w:szCs w:val="24"/>
        </w:rPr>
        <w:t xml:space="preserve"> as compared to the Company’s requested retail delivery cost of service of $</w:t>
      </w:r>
      <w:r w:rsidR="00B97F89" w:rsidRPr="00B97F89">
        <w:rPr>
          <w:sz w:val="24"/>
          <w:szCs w:val="24"/>
        </w:rPr>
        <w:t>2,282,204,680</w:t>
      </w:r>
      <w:r w:rsidR="00B97F89">
        <w:rPr>
          <w:sz w:val="24"/>
          <w:szCs w:val="24"/>
        </w:rPr>
        <w:t>.</w:t>
      </w:r>
      <w:r w:rsidR="00B97F89" w:rsidRPr="00B97F89">
        <w:rPr>
          <w:rStyle w:val="FootnoteReference"/>
          <w:sz w:val="24"/>
          <w:szCs w:val="24"/>
        </w:rPr>
        <w:footnoteReference w:id="77"/>
      </w:r>
    </w:p>
    <w:p w:rsidR="00B8496F" w:rsidRDefault="00B8496F" w:rsidP="00B8496F">
      <w:pPr>
        <w:spacing w:line="480" w:lineRule="auto"/>
        <w:ind w:left="720" w:hanging="720"/>
        <w:rPr>
          <w:b/>
          <w:sz w:val="24"/>
          <w:szCs w:val="24"/>
        </w:rPr>
      </w:pPr>
      <w:r w:rsidRPr="00D238CD">
        <w:rPr>
          <w:b/>
          <w:sz w:val="24"/>
          <w:szCs w:val="24"/>
        </w:rPr>
        <w:t>Q.</w:t>
      </w:r>
      <w:r w:rsidRPr="00D238CD">
        <w:rPr>
          <w:b/>
          <w:sz w:val="24"/>
          <w:szCs w:val="24"/>
        </w:rPr>
        <w:tab/>
      </w:r>
      <w:r>
        <w:rPr>
          <w:b/>
          <w:sz w:val="24"/>
          <w:szCs w:val="24"/>
        </w:rPr>
        <w:t>What is a class cost of service study?</w:t>
      </w:r>
    </w:p>
    <w:p w:rsidR="00B8496F" w:rsidRDefault="00B8496F" w:rsidP="007E7ACB">
      <w:pPr>
        <w:spacing w:line="480" w:lineRule="auto"/>
        <w:ind w:left="720" w:hanging="720"/>
        <w:jc w:val="both"/>
        <w:rPr>
          <w:sz w:val="24"/>
          <w:szCs w:val="24"/>
        </w:rPr>
      </w:pPr>
      <w:r w:rsidRPr="00880640">
        <w:rPr>
          <w:sz w:val="24"/>
          <w:szCs w:val="24"/>
        </w:rPr>
        <w:t>A.</w:t>
      </w:r>
      <w:r w:rsidRPr="00880640">
        <w:rPr>
          <w:sz w:val="24"/>
          <w:szCs w:val="24"/>
        </w:rPr>
        <w:tab/>
      </w:r>
      <w:r>
        <w:rPr>
          <w:sz w:val="24"/>
          <w:szCs w:val="24"/>
        </w:rPr>
        <w:t xml:space="preserve">Once the overall retail delivery cost of service has been determined, the amount for each line item and function must be allocated </w:t>
      </w:r>
      <w:r w:rsidR="00FA7B58">
        <w:rPr>
          <w:sz w:val="24"/>
          <w:szCs w:val="24"/>
        </w:rPr>
        <w:t xml:space="preserve">based on cost causation </w:t>
      </w:r>
      <w:r>
        <w:rPr>
          <w:sz w:val="24"/>
          <w:szCs w:val="24"/>
        </w:rPr>
        <w:t>among rate classes</w:t>
      </w:r>
      <w:r w:rsidR="007E7ACB">
        <w:rPr>
          <w:sz w:val="24"/>
          <w:szCs w:val="24"/>
        </w:rPr>
        <w:t xml:space="preserve">.  </w:t>
      </w:r>
      <w:r>
        <w:rPr>
          <w:sz w:val="24"/>
          <w:szCs w:val="24"/>
        </w:rPr>
        <w:t xml:space="preserve">The end result of </w:t>
      </w:r>
      <w:r w:rsidR="007E7ACB">
        <w:rPr>
          <w:sz w:val="24"/>
          <w:szCs w:val="24"/>
        </w:rPr>
        <w:t xml:space="preserve">the </w:t>
      </w:r>
      <w:r w:rsidR="00E607F3">
        <w:rPr>
          <w:sz w:val="24"/>
          <w:szCs w:val="24"/>
        </w:rPr>
        <w:t>study</w:t>
      </w:r>
      <w:r w:rsidR="007E7ACB">
        <w:rPr>
          <w:sz w:val="24"/>
          <w:szCs w:val="24"/>
        </w:rPr>
        <w:t xml:space="preserve"> </w:t>
      </w:r>
      <w:r>
        <w:rPr>
          <w:sz w:val="24"/>
          <w:szCs w:val="24"/>
        </w:rPr>
        <w:t xml:space="preserve">is the best approximation of the </w:t>
      </w:r>
      <w:r w:rsidR="004A39B7">
        <w:rPr>
          <w:sz w:val="24"/>
          <w:szCs w:val="24"/>
        </w:rPr>
        <w:t xml:space="preserve">Test Year </w:t>
      </w:r>
      <w:r>
        <w:rPr>
          <w:sz w:val="24"/>
          <w:szCs w:val="24"/>
        </w:rPr>
        <w:t xml:space="preserve">costs incurred </w:t>
      </w:r>
      <w:r w:rsidR="00834B6D">
        <w:rPr>
          <w:sz w:val="24"/>
          <w:szCs w:val="24"/>
        </w:rPr>
        <w:t xml:space="preserve">by the Company </w:t>
      </w:r>
      <w:r>
        <w:rPr>
          <w:sz w:val="24"/>
          <w:szCs w:val="24"/>
        </w:rPr>
        <w:t xml:space="preserve">to serve each </w:t>
      </w:r>
      <w:r w:rsidR="00AA0EE0">
        <w:rPr>
          <w:sz w:val="24"/>
          <w:szCs w:val="24"/>
        </w:rPr>
        <w:t>rate class</w:t>
      </w:r>
      <w:r w:rsidRPr="00436A6C">
        <w:rPr>
          <w:sz w:val="24"/>
          <w:szCs w:val="24"/>
        </w:rPr>
        <w:t xml:space="preserve">.  The best approximation of </w:t>
      </w:r>
      <w:r w:rsidR="00384140">
        <w:rPr>
          <w:sz w:val="24"/>
          <w:szCs w:val="24"/>
        </w:rPr>
        <w:t xml:space="preserve">class </w:t>
      </w:r>
      <w:r w:rsidRPr="00436A6C">
        <w:rPr>
          <w:sz w:val="24"/>
          <w:szCs w:val="24"/>
        </w:rPr>
        <w:t xml:space="preserve">cost of service is then used in the </w:t>
      </w:r>
      <w:r>
        <w:rPr>
          <w:sz w:val="24"/>
          <w:szCs w:val="24"/>
        </w:rPr>
        <w:t>rate design phase</w:t>
      </w:r>
      <w:r w:rsidRPr="00436A6C">
        <w:rPr>
          <w:sz w:val="24"/>
          <w:szCs w:val="24"/>
        </w:rPr>
        <w:t xml:space="preserve"> for each </w:t>
      </w:r>
      <w:r>
        <w:rPr>
          <w:sz w:val="24"/>
          <w:szCs w:val="24"/>
        </w:rPr>
        <w:t>retail rate</w:t>
      </w:r>
      <w:r w:rsidR="00834B6D">
        <w:rPr>
          <w:sz w:val="24"/>
          <w:szCs w:val="24"/>
        </w:rPr>
        <w:t xml:space="preserve"> class, as rates for each class are designed to recover</w:t>
      </w:r>
      <w:r w:rsidR="00E270E1">
        <w:rPr>
          <w:sz w:val="24"/>
          <w:szCs w:val="24"/>
        </w:rPr>
        <w:t xml:space="preserve"> the costs caused by that class, as measured in the study.</w:t>
      </w:r>
    </w:p>
    <w:p w:rsidR="00834B6D" w:rsidRPr="0011036C" w:rsidRDefault="0011036C" w:rsidP="00B8496F">
      <w:pPr>
        <w:spacing w:line="480" w:lineRule="auto"/>
        <w:ind w:left="720" w:hanging="720"/>
        <w:jc w:val="both"/>
        <w:rPr>
          <w:b/>
          <w:sz w:val="24"/>
          <w:szCs w:val="24"/>
        </w:rPr>
      </w:pPr>
      <w:r w:rsidRPr="0011036C">
        <w:rPr>
          <w:b/>
          <w:sz w:val="24"/>
          <w:szCs w:val="24"/>
        </w:rPr>
        <w:t>Q.</w:t>
      </w:r>
      <w:r w:rsidRPr="0011036C">
        <w:rPr>
          <w:b/>
          <w:sz w:val="24"/>
          <w:szCs w:val="24"/>
        </w:rPr>
        <w:tab/>
        <w:t>Which Company witness supports the Company’s class cost of service study?</w:t>
      </w:r>
    </w:p>
    <w:p w:rsidR="0011036C" w:rsidRDefault="0011036C" w:rsidP="002059FD">
      <w:pPr>
        <w:spacing w:line="480" w:lineRule="auto"/>
        <w:ind w:left="720" w:hanging="720"/>
        <w:jc w:val="both"/>
        <w:rPr>
          <w:sz w:val="24"/>
          <w:szCs w:val="24"/>
        </w:rPr>
      </w:pPr>
      <w:r>
        <w:rPr>
          <w:sz w:val="24"/>
          <w:szCs w:val="24"/>
        </w:rPr>
        <w:t>A.</w:t>
      </w:r>
      <w:r>
        <w:rPr>
          <w:sz w:val="24"/>
          <w:szCs w:val="24"/>
        </w:rPr>
        <w:tab/>
        <w:t xml:space="preserve">Matthew </w:t>
      </w:r>
      <w:r w:rsidR="00BB1E8A">
        <w:rPr>
          <w:sz w:val="24"/>
          <w:szCs w:val="24"/>
        </w:rPr>
        <w:t>A. Troxle</w:t>
      </w:r>
      <w:r w:rsidR="00A446F5">
        <w:rPr>
          <w:sz w:val="24"/>
          <w:szCs w:val="24"/>
        </w:rPr>
        <w:t>.</w:t>
      </w:r>
      <w:r w:rsidR="00A446F5">
        <w:rPr>
          <w:rStyle w:val="FootnoteReference"/>
          <w:sz w:val="24"/>
          <w:szCs w:val="24"/>
        </w:rPr>
        <w:footnoteReference w:id="78"/>
      </w:r>
    </w:p>
    <w:p w:rsidR="00545AB3" w:rsidRPr="006759D1" w:rsidRDefault="00545AB3" w:rsidP="002059FD">
      <w:pPr>
        <w:spacing w:line="480" w:lineRule="auto"/>
        <w:ind w:left="720" w:hanging="720"/>
        <w:jc w:val="both"/>
        <w:rPr>
          <w:b/>
          <w:sz w:val="24"/>
          <w:szCs w:val="24"/>
        </w:rPr>
      </w:pPr>
      <w:r w:rsidRPr="00545AB3">
        <w:rPr>
          <w:b/>
          <w:sz w:val="24"/>
          <w:szCs w:val="24"/>
        </w:rPr>
        <w:lastRenderedPageBreak/>
        <w:t>Q.</w:t>
      </w:r>
      <w:r w:rsidRPr="00545AB3">
        <w:rPr>
          <w:b/>
          <w:sz w:val="24"/>
          <w:szCs w:val="24"/>
        </w:rPr>
        <w:tab/>
        <w:t xml:space="preserve">Do you recommend any adjustments to the Company’s proposed class </w:t>
      </w:r>
      <w:r w:rsidRPr="006759D1">
        <w:rPr>
          <w:b/>
          <w:sz w:val="24"/>
          <w:szCs w:val="24"/>
        </w:rPr>
        <w:t>allocation?</w:t>
      </w:r>
    </w:p>
    <w:p w:rsidR="002F02BB" w:rsidRPr="006759D1" w:rsidRDefault="00545AB3" w:rsidP="002059FD">
      <w:pPr>
        <w:spacing w:line="480" w:lineRule="auto"/>
        <w:ind w:left="720" w:hanging="720"/>
        <w:jc w:val="both"/>
        <w:rPr>
          <w:sz w:val="24"/>
          <w:szCs w:val="24"/>
        </w:rPr>
      </w:pPr>
      <w:r w:rsidRPr="006759D1">
        <w:rPr>
          <w:sz w:val="24"/>
          <w:szCs w:val="24"/>
        </w:rPr>
        <w:t>A.</w:t>
      </w:r>
      <w:r w:rsidRPr="006759D1">
        <w:rPr>
          <w:sz w:val="24"/>
          <w:szCs w:val="24"/>
        </w:rPr>
        <w:tab/>
      </w:r>
      <w:r w:rsidR="002F02BB" w:rsidRPr="006759D1">
        <w:rPr>
          <w:sz w:val="24"/>
          <w:szCs w:val="24"/>
        </w:rPr>
        <w:t xml:space="preserve">Yes.  </w:t>
      </w:r>
    </w:p>
    <w:p w:rsidR="00545AB3" w:rsidRPr="006759D1" w:rsidRDefault="002F02BB" w:rsidP="002059FD">
      <w:pPr>
        <w:spacing w:line="480" w:lineRule="auto"/>
        <w:ind w:left="720" w:hanging="720"/>
        <w:jc w:val="both"/>
        <w:rPr>
          <w:b/>
          <w:sz w:val="24"/>
          <w:szCs w:val="24"/>
          <w:u w:val="single"/>
        </w:rPr>
      </w:pPr>
      <w:r w:rsidRPr="006759D1">
        <w:rPr>
          <w:b/>
          <w:sz w:val="24"/>
          <w:szCs w:val="24"/>
          <w:u w:val="single"/>
        </w:rPr>
        <w:t xml:space="preserve">Allocation of ERCOT transmission payments.  </w:t>
      </w:r>
    </w:p>
    <w:p w:rsidR="002F02BB" w:rsidRPr="00CF3886" w:rsidRDefault="002F02BB" w:rsidP="00FC0133">
      <w:pPr>
        <w:spacing w:line="480" w:lineRule="auto"/>
        <w:ind w:left="720" w:hanging="720"/>
        <w:jc w:val="both"/>
        <w:rPr>
          <w:b/>
          <w:sz w:val="24"/>
          <w:szCs w:val="24"/>
        </w:rPr>
      </w:pPr>
      <w:r w:rsidRPr="00CF3886">
        <w:rPr>
          <w:b/>
          <w:sz w:val="24"/>
          <w:szCs w:val="24"/>
        </w:rPr>
        <w:t>Q.</w:t>
      </w:r>
      <w:r w:rsidRPr="00CF3886">
        <w:rPr>
          <w:b/>
          <w:sz w:val="24"/>
          <w:szCs w:val="24"/>
        </w:rPr>
        <w:tab/>
      </w:r>
      <w:r w:rsidR="00FC6C6A" w:rsidRPr="00CF3886">
        <w:rPr>
          <w:b/>
          <w:sz w:val="24"/>
          <w:szCs w:val="24"/>
        </w:rPr>
        <w:t xml:space="preserve">Above you discuss how </w:t>
      </w:r>
      <w:r w:rsidR="00C8262C">
        <w:rPr>
          <w:b/>
          <w:sz w:val="24"/>
          <w:szCs w:val="24"/>
        </w:rPr>
        <w:t>CEHE</w:t>
      </w:r>
      <w:r w:rsidR="00FC6C6A" w:rsidRPr="00CF3886">
        <w:rPr>
          <w:b/>
          <w:sz w:val="24"/>
          <w:szCs w:val="24"/>
        </w:rPr>
        <w:t xml:space="preserve">’s retail customers are charged for use of the </w:t>
      </w:r>
      <w:r w:rsidR="00CF3886">
        <w:rPr>
          <w:b/>
          <w:sz w:val="24"/>
          <w:szCs w:val="24"/>
        </w:rPr>
        <w:t xml:space="preserve">ERCOT </w:t>
      </w:r>
      <w:r w:rsidR="00FC6C6A" w:rsidRPr="00CF3886">
        <w:rPr>
          <w:b/>
          <w:sz w:val="24"/>
          <w:szCs w:val="24"/>
        </w:rPr>
        <w:t>transmission system under the “transmission system charge”</w:t>
      </w:r>
      <w:r w:rsidR="00FF0827" w:rsidRPr="00CF3886">
        <w:rPr>
          <w:b/>
          <w:sz w:val="24"/>
          <w:szCs w:val="24"/>
        </w:rPr>
        <w:t xml:space="preserve"> component of base rates.  </w:t>
      </w:r>
      <w:r w:rsidR="00FC6C6A" w:rsidRPr="00CF3886">
        <w:rPr>
          <w:b/>
          <w:sz w:val="24"/>
          <w:szCs w:val="24"/>
        </w:rPr>
        <w:t>How does the Company propose to allocate ERCOT transmission payments among classes</w:t>
      </w:r>
      <w:r w:rsidR="00B05A56">
        <w:rPr>
          <w:b/>
          <w:sz w:val="24"/>
          <w:szCs w:val="24"/>
        </w:rPr>
        <w:t xml:space="preserve"> for the purpose of setting its transmission system charges</w:t>
      </w:r>
      <w:r w:rsidR="00FC6C6A" w:rsidRPr="00CF3886">
        <w:rPr>
          <w:b/>
          <w:sz w:val="24"/>
          <w:szCs w:val="24"/>
        </w:rPr>
        <w:t>?</w:t>
      </w:r>
    </w:p>
    <w:p w:rsidR="00365813" w:rsidRDefault="00FC6C6A" w:rsidP="009D755E">
      <w:pPr>
        <w:spacing w:line="480" w:lineRule="auto"/>
        <w:ind w:left="720" w:hanging="720"/>
        <w:jc w:val="both"/>
        <w:rPr>
          <w:sz w:val="24"/>
          <w:szCs w:val="24"/>
        </w:rPr>
      </w:pPr>
      <w:r w:rsidRPr="00FC6C6A">
        <w:rPr>
          <w:sz w:val="24"/>
          <w:szCs w:val="24"/>
        </w:rPr>
        <w:t>A.</w:t>
      </w:r>
      <w:r w:rsidRPr="00FC6C6A">
        <w:rPr>
          <w:sz w:val="24"/>
          <w:szCs w:val="24"/>
        </w:rPr>
        <w:tab/>
      </w:r>
      <w:r w:rsidR="00FC0133">
        <w:rPr>
          <w:sz w:val="24"/>
          <w:szCs w:val="24"/>
        </w:rPr>
        <w:t>In proportion to peak demand on its distribution system during the summer months</w:t>
      </w:r>
      <w:r w:rsidR="00CF3886">
        <w:rPr>
          <w:sz w:val="24"/>
          <w:szCs w:val="24"/>
        </w:rPr>
        <w:t>, measured at meter</w:t>
      </w:r>
      <w:r w:rsidR="00FC0133">
        <w:rPr>
          <w:sz w:val="24"/>
          <w:szCs w:val="24"/>
        </w:rPr>
        <w:t>.</w:t>
      </w:r>
      <w:r w:rsidR="00BD5379">
        <w:rPr>
          <w:rStyle w:val="FootnoteReference"/>
          <w:sz w:val="24"/>
          <w:szCs w:val="24"/>
        </w:rPr>
        <w:footnoteReference w:id="79"/>
      </w:r>
    </w:p>
    <w:p w:rsidR="00FC6C6A" w:rsidRPr="00FC6C6A" w:rsidRDefault="00FF0827" w:rsidP="00365813">
      <w:pPr>
        <w:spacing w:line="480" w:lineRule="auto"/>
        <w:ind w:left="720" w:firstLine="720"/>
        <w:jc w:val="both"/>
        <w:rPr>
          <w:sz w:val="24"/>
          <w:szCs w:val="24"/>
        </w:rPr>
      </w:pPr>
      <w:r>
        <w:rPr>
          <w:sz w:val="24"/>
          <w:szCs w:val="24"/>
        </w:rPr>
        <w:t xml:space="preserve">In </w:t>
      </w:r>
      <w:r w:rsidR="00E161D9">
        <w:rPr>
          <w:sz w:val="24"/>
          <w:szCs w:val="24"/>
        </w:rPr>
        <w:t>reference to his proposed approach in direct testimony</w:t>
      </w:r>
      <w:r>
        <w:rPr>
          <w:sz w:val="24"/>
          <w:szCs w:val="24"/>
        </w:rPr>
        <w:t>, Company witness Troxle in</w:t>
      </w:r>
      <w:r w:rsidR="00E161D9">
        <w:rPr>
          <w:sz w:val="24"/>
          <w:szCs w:val="24"/>
        </w:rPr>
        <w:t>accurately</w:t>
      </w:r>
      <w:r>
        <w:rPr>
          <w:sz w:val="24"/>
          <w:szCs w:val="24"/>
        </w:rPr>
        <w:t xml:space="preserve"> </w:t>
      </w:r>
      <w:r w:rsidR="009D755E">
        <w:rPr>
          <w:sz w:val="24"/>
          <w:szCs w:val="24"/>
        </w:rPr>
        <w:t xml:space="preserve">states: </w:t>
      </w:r>
      <w:r w:rsidR="00B13164">
        <w:rPr>
          <w:sz w:val="24"/>
          <w:szCs w:val="24"/>
        </w:rPr>
        <w:t>“</w:t>
      </w:r>
      <w:r w:rsidR="00B13164" w:rsidRPr="00B13164">
        <w:rPr>
          <w:sz w:val="24"/>
          <w:szCs w:val="24"/>
        </w:rPr>
        <w:t>CenterPoint Houston proposes to use the unadjusted 4CP allocation factor based on</w:t>
      </w:r>
      <w:r w:rsidR="00B13164">
        <w:rPr>
          <w:sz w:val="24"/>
          <w:szCs w:val="24"/>
        </w:rPr>
        <w:t xml:space="preserve"> </w:t>
      </w:r>
      <w:r w:rsidR="00B13164" w:rsidRPr="00B13164">
        <w:rPr>
          <w:sz w:val="24"/>
          <w:szCs w:val="24"/>
        </w:rPr>
        <w:t xml:space="preserve">the </w:t>
      </w:r>
      <w:r w:rsidR="00B13164" w:rsidRPr="009D755E">
        <w:rPr>
          <w:i/>
          <w:sz w:val="24"/>
          <w:szCs w:val="24"/>
        </w:rPr>
        <w:t>ERCOT</w:t>
      </w:r>
      <w:r w:rsidR="00B13164" w:rsidRPr="00B13164">
        <w:rPr>
          <w:sz w:val="24"/>
          <w:szCs w:val="24"/>
        </w:rPr>
        <w:t xml:space="preserve"> peak summer month periods to allocate capacity-related transmission</w:t>
      </w:r>
      <w:r w:rsidR="00B13164">
        <w:rPr>
          <w:sz w:val="24"/>
          <w:szCs w:val="24"/>
        </w:rPr>
        <w:t xml:space="preserve"> </w:t>
      </w:r>
      <w:r w:rsidR="00B13164" w:rsidRPr="00B13164">
        <w:rPr>
          <w:sz w:val="24"/>
          <w:szCs w:val="24"/>
        </w:rPr>
        <w:t>costs.</w:t>
      </w:r>
      <w:r w:rsidR="00B13164">
        <w:rPr>
          <w:sz w:val="24"/>
          <w:szCs w:val="24"/>
        </w:rPr>
        <w:t>”</w:t>
      </w:r>
      <w:r w:rsidR="009D755E">
        <w:rPr>
          <w:rStyle w:val="FootnoteReference"/>
          <w:sz w:val="24"/>
          <w:szCs w:val="24"/>
        </w:rPr>
        <w:footnoteReference w:id="80"/>
      </w:r>
      <w:r w:rsidR="009D755E">
        <w:rPr>
          <w:sz w:val="24"/>
          <w:szCs w:val="24"/>
        </w:rPr>
        <w:t xml:space="preserve">  </w:t>
      </w:r>
      <w:r>
        <w:rPr>
          <w:sz w:val="24"/>
          <w:szCs w:val="24"/>
        </w:rPr>
        <w:t>In the Company’</w:t>
      </w:r>
      <w:r w:rsidR="009D755E">
        <w:rPr>
          <w:sz w:val="24"/>
          <w:szCs w:val="24"/>
        </w:rPr>
        <w:t xml:space="preserve">s errata filing, </w:t>
      </w:r>
      <w:r w:rsidR="003618B1">
        <w:rPr>
          <w:sz w:val="24"/>
          <w:szCs w:val="24"/>
        </w:rPr>
        <w:t xml:space="preserve">Mr. Troxle </w:t>
      </w:r>
      <w:r w:rsidR="009D755E">
        <w:rPr>
          <w:sz w:val="24"/>
          <w:szCs w:val="24"/>
        </w:rPr>
        <w:t xml:space="preserve">corrects </w:t>
      </w:r>
      <w:r w:rsidR="003618B1">
        <w:rPr>
          <w:sz w:val="24"/>
          <w:szCs w:val="24"/>
        </w:rPr>
        <w:t>his</w:t>
      </w:r>
      <w:r w:rsidR="009D755E">
        <w:rPr>
          <w:sz w:val="24"/>
          <w:szCs w:val="24"/>
        </w:rPr>
        <w:t xml:space="preserve"> </w:t>
      </w:r>
      <w:r w:rsidR="00CE1B47">
        <w:rPr>
          <w:sz w:val="24"/>
          <w:szCs w:val="24"/>
        </w:rPr>
        <w:t>statement</w:t>
      </w:r>
      <w:r w:rsidR="009D755E">
        <w:rPr>
          <w:sz w:val="24"/>
          <w:szCs w:val="24"/>
        </w:rPr>
        <w:t xml:space="preserve"> </w:t>
      </w:r>
      <w:r w:rsidR="00343A4A">
        <w:rPr>
          <w:sz w:val="24"/>
          <w:szCs w:val="24"/>
        </w:rPr>
        <w:t>by changing “ERCOT” to “CEHE,</w:t>
      </w:r>
      <w:r w:rsidR="009D755E">
        <w:rPr>
          <w:sz w:val="24"/>
          <w:szCs w:val="24"/>
        </w:rPr>
        <w:t>”</w:t>
      </w:r>
      <w:r w:rsidR="009D755E">
        <w:rPr>
          <w:rStyle w:val="FootnoteReference"/>
          <w:sz w:val="24"/>
          <w:szCs w:val="24"/>
        </w:rPr>
        <w:footnoteReference w:id="81"/>
      </w:r>
      <w:r w:rsidR="00343A4A">
        <w:rPr>
          <w:sz w:val="24"/>
          <w:szCs w:val="24"/>
        </w:rPr>
        <w:t xml:space="preserve"> confirming the Company’s prop</w:t>
      </w:r>
      <w:r w:rsidR="00ED6FAF">
        <w:rPr>
          <w:sz w:val="24"/>
          <w:szCs w:val="24"/>
        </w:rPr>
        <w:t xml:space="preserve">osed use of </w:t>
      </w:r>
      <w:r w:rsidR="00C8262C">
        <w:rPr>
          <w:sz w:val="24"/>
          <w:szCs w:val="24"/>
        </w:rPr>
        <w:t>CEHE</w:t>
      </w:r>
      <w:r w:rsidR="00652EBE">
        <w:rPr>
          <w:sz w:val="24"/>
          <w:szCs w:val="24"/>
        </w:rPr>
        <w:t xml:space="preserve">’s </w:t>
      </w:r>
      <w:r w:rsidR="00ED6FAF">
        <w:rPr>
          <w:sz w:val="24"/>
          <w:szCs w:val="24"/>
        </w:rPr>
        <w:t>distribution demand</w:t>
      </w:r>
      <w:r w:rsidR="00652EBE">
        <w:rPr>
          <w:sz w:val="24"/>
          <w:szCs w:val="24"/>
        </w:rPr>
        <w:t>s</w:t>
      </w:r>
      <w:r w:rsidR="00ED6FAF">
        <w:rPr>
          <w:sz w:val="24"/>
          <w:szCs w:val="24"/>
        </w:rPr>
        <w:t>, not ERCOT 4CP demand</w:t>
      </w:r>
      <w:r w:rsidR="00652EBE">
        <w:rPr>
          <w:sz w:val="24"/>
          <w:szCs w:val="24"/>
        </w:rPr>
        <w:t>s</w:t>
      </w:r>
      <w:r w:rsidR="00ED6FAF">
        <w:rPr>
          <w:sz w:val="24"/>
          <w:szCs w:val="24"/>
        </w:rPr>
        <w:t>.</w:t>
      </w:r>
    </w:p>
    <w:p w:rsidR="00C85D1C" w:rsidRDefault="00C85D1C" w:rsidP="00FC6C6A">
      <w:pPr>
        <w:spacing w:line="480" w:lineRule="auto"/>
        <w:ind w:left="720" w:hanging="720"/>
        <w:jc w:val="both"/>
        <w:rPr>
          <w:b/>
          <w:sz w:val="24"/>
          <w:szCs w:val="24"/>
        </w:rPr>
      </w:pPr>
      <w:r>
        <w:rPr>
          <w:b/>
          <w:sz w:val="24"/>
          <w:szCs w:val="24"/>
        </w:rPr>
        <w:t>Q.</w:t>
      </w:r>
      <w:r>
        <w:rPr>
          <w:b/>
          <w:sz w:val="24"/>
          <w:szCs w:val="24"/>
        </w:rPr>
        <w:tab/>
        <w:t>Do you support the Company’s proposal?</w:t>
      </w:r>
    </w:p>
    <w:p w:rsidR="00C85D1C" w:rsidRDefault="00C85D1C" w:rsidP="00F77264">
      <w:pPr>
        <w:spacing w:line="480" w:lineRule="auto"/>
        <w:ind w:left="720" w:hanging="720"/>
        <w:jc w:val="both"/>
        <w:rPr>
          <w:sz w:val="24"/>
          <w:szCs w:val="24"/>
        </w:rPr>
      </w:pPr>
      <w:r w:rsidRPr="00C85D1C">
        <w:rPr>
          <w:sz w:val="24"/>
          <w:szCs w:val="24"/>
        </w:rPr>
        <w:lastRenderedPageBreak/>
        <w:t>A.</w:t>
      </w:r>
      <w:r w:rsidRPr="00C85D1C">
        <w:rPr>
          <w:sz w:val="24"/>
          <w:szCs w:val="24"/>
        </w:rPr>
        <w:tab/>
        <w:t xml:space="preserve">No.  </w:t>
      </w:r>
      <w:r>
        <w:rPr>
          <w:sz w:val="24"/>
          <w:szCs w:val="24"/>
        </w:rPr>
        <w:t xml:space="preserve">The Company’s proposal is inconsistent with cost causation, with the Commission’s rules, and with Commission precedent, including the Commission’s decision in Docket No. 38339, </w:t>
      </w:r>
      <w:r w:rsidR="00C8262C">
        <w:rPr>
          <w:sz w:val="24"/>
          <w:szCs w:val="24"/>
        </w:rPr>
        <w:t>CEHE</w:t>
      </w:r>
      <w:r>
        <w:rPr>
          <w:sz w:val="24"/>
          <w:szCs w:val="24"/>
        </w:rPr>
        <w:t xml:space="preserve">’s last base-rate case, which was fully litigated and wherein </w:t>
      </w:r>
      <w:r w:rsidR="00C8262C">
        <w:rPr>
          <w:sz w:val="24"/>
          <w:szCs w:val="24"/>
        </w:rPr>
        <w:t>CEHE</w:t>
      </w:r>
      <w:r>
        <w:rPr>
          <w:sz w:val="24"/>
          <w:szCs w:val="24"/>
        </w:rPr>
        <w:t>’s class allocation of ERCOT transmission payments was a contested issue.</w:t>
      </w:r>
    </w:p>
    <w:p w:rsidR="00CF05CB" w:rsidRPr="00EE50C6" w:rsidRDefault="00F17425" w:rsidP="00FC6C6A">
      <w:pPr>
        <w:spacing w:line="480" w:lineRule="auto"/>
        <w:ind w:left="720" w:hanging="720"/>
        <w:jc w:val="both"/>
        <w:rPr>
          <w:b/>
          <w:sz w:val="24"/>
          <w:szCs w:val="24"/>
        </w:rPr>
      </w:pPr>
      <w:r>
        <w:rPr>
          <w:b/>
          <w:sz w:val="24"/>
          <w:szCs w:val="24"/>
        </w:rPr>
        <w:t>Q.</w:t>
      </w:r>
      <w:r>
        <w:rPr>
          <w:b/>
          <w:sz w:val="24"/>
          <w:szCs w:val="24"/>
        </w:rPr>
        <w:tab/>
        <w:t xml:space="preserve">What causes </w:t>
      </w:r>
      <w:r w:rsidR="00C8262C">
        <w:rPr>
          <w:b/>
          <w:sz w:val="24"/>
          <w:szCs w:val="24"/>
        </w:rPr>
        <w:t>CEHE</w:t>
      </w:r>
      <w:r w:rsidR="00EE50C6" w:rsidRPr="00EE50C6">
        <w:rPr>
          <w:b/>
          <w:sz w:val="24"/>
          <w:szCs w:val="24"/>
        </w:rPr>
        <w:t xml:space="preserve"> to incur ERCOT transmission payments?</w:t>
      </w:r>
    </w:p>
    <w:p w:rsidR="00EE50C6" w:rsidRDefault="00EE50C6" w:rsidP="00FC6C6A">
      <w:pPr>
        <w:spacing w:line="480" w:lineRule="auto"/>
        <w:ind w:left="720" w:hanging="720"/>
        <w:jc w:val="both"/>
        <w:rPr>
          <w:sz w:val="24"/>
          <w:szCs w:val="24"/>
        </w:rPr>
      </w:pPr>
      <w:r>
        <w:rPr>
          <w:sz w:val="24"/>
          <w:szCs w:val="24"/>
        </w:rPr>
        <w:t>A.</w:t>
      </w:r>
      <w:r>
        <w:rPr>
          <w:sz w:val="24"/>
          <w:szCs w:val="24"/>
        </w:rPr>
        <w:tab/>
        <w:t xml:space="preserve">The Company’s retail load that is coincident with ERCOT peak load during the months of June, July, August, and September, which is identified earlier in my testimony as “DSP Avg 4-CP.”  </w:t>
      </w:r>
    </w:p>
    <w:p w:rsidR="00EE50C6" w:rsidRDefault="00E4117E" w:rsidP="00FC6C6A">
      <w:pPr>
        <w:spacing w:line="480" w:lineRule="auto"/>
        <w:ind w:left="720" w:hanging="720"/>
        <w:jc w:val="both"/>
        <w:rPr>
          <w:b/>
          <w:sz w:val="24"/>
          <w:szCs w:val="24"/>
        </w:rPr>
      </w:pPr>
      <w:r w:rsidRPr="00E4117E">
        <w:rPr>
          <w:b/>
          <w:sz w:val="24"/>
          <w:szCs w:val="24"/>
        </w:rPr>
        <w:t>Q.</w:t>
      </w:r>
      <w:r w:rsidRPr="00E4117E">
        <w:rPr>
          <w:b/>
          <w:sz w:val="24"/>
          <w:szCs w:val="24"/>
        </w:rPr>
        <w:tab/>
      </w:r>
      <w:r>
        <w:rPr>
          <w:b/>
          <w:sz w:val="24"/>
          <w:szCs w:val="24"/>
        </w:rPr>
        <w:t xml:space="preserve">What causes </w:t>
      </w:r>
      <w:r w:rsidR="00C8262C">
        <w:rPr>
          <w:b/>
          <w:sz w:val="24"/>
          <w:szCs w:val="24"/>
        </w:rPr>
        <w:t>CEHE</w:t>
      </w:r>
      <w:r>
        <w:rPr>
          <w:b/>
          <w:sz w:val="24"/>
          <w:szCs w:val="24"/>
        </w:rPr>
        <w:t>’s DSP Avg 4CP?</w:t>
      </w:r>
    </w:p>
    <w:p w:rsidR="00E4117E" w:rsidRDefault="00E4117E" w:rsidP="00FC6C6A">
      <w:pPr>
        <w:spacing w:line="480" w:lineRule="auto"/>
        <w:ind w:left="720" w:hanging="720"/>
        <w:jc w:val="both"/>
        <w:rPr>
          <w:sz w:val="24"/>
          <w:szCs w:val="24"/>
        </w:rPr>
      </w:pPr>
      <w:r w:rsidRPr="00E4117E">
        <w:rPr>
          <w:sz w:val="24"/>
          <w:szCs w:val="24"/>
        </w:rPr>
        <w:t>A.</w:t>
      </w:r>
      <w:r w:rsidRPr="00E4117E">
        <w:rPr>
          <w:sz w:val="24"/>
          <w:szCs w:val="24"/>
        </w:rPr>
        <w:tab/>
      </w:r>
      <w:r>
        <w:rPr>
          <w:sz w:val="24"/>
          <w:szCs w:val="24"/>
        </w:rPr>
        <w:t xml:space="preserve">Class load imposed on </w:t>
      </w:r>
      <w:r w:rsidR="00C8262C">
        <w:rPr>
          <w:sz w:val="24"/>
          <w:szCs w:val="24"/>
        </w:rPr>
        <w:t>CEHE</w:t>
      </w:r>
      <w:r>
        <w:rPr>
          <w:sz w:val="24"/>
          <w:szCs w:val="24"/>
        </w:rPr>
        <w:t>’s system at the time of the ERCOT peak load</w:t>
      </w:r>
      <w:r w:rsidR="00690CCD">
        <w:rPr>
          <w:sz w:val="24"/>
          <w:szCs w:val="24"/>
        </w:rPr>
        <w:t>, measured at source</w:t>
      </w:r>
      <w:r>
        <w:rPr>
          <w:sz w:val="24"/>
          <w:szCs w:val="24"/>
        </w:rPr>
        <w:t>.  Put differently, DSP Avg 4CP load is an aggregation of class load coincident with ERCOT 4-CP load.</w:t>
      </w:r>
      <w:r w:rsidR="00F34574">
        <w:rPr>
          <w:sz w:val="24"/>
          <w:szCs w:val="24"/>
        </w:rPr>
        <w:t xml:space="preserve">  </w:t>
      </w:r>
      <w:r w:rsidR="009C5B0B">
        <w:rPr>
          <w:sz w:val="24"/>
          <w:szCs w:val="24"/>
        </w:rPr>
        <w:t>C</w:t>
      </w:r>
      <w:r w:rsidR="00F34574">
        <w:rPr>
          <w:sz w:val="24"/>
          <w:szCs w:val="24"/>
        </w:rPr>
        <w:t xml:space="preserve">lass load coincident with ERCOT 4-CP causes </w:t>
      </w:r>
      <w:r w:rsidR="00C8262C">
        <w:rPr>
          <w:sz w:val="24"/>
          <w:szCs w:val="24"/>
        </w:rPr>
        <w:t>CEHE</w:t>
      </w:r>
      <w:r w:rsidR="00F34574">
        <w:rPr>
          <w:sz w:val="24"/>
          <w:szCs w:val="24"/>
        </w:rPr>
        <w:t xml:space="preserve"> to incur ERCOT transmission payments.</w:t>
      </w:r>
    </w:p>
    <w:p w:rsidR="00F34574" w:rsidRPr="00D473A7" w:rsidRDefault="00D473A7" w:rsidP="00FC6C6A">
      <w:pPr>
        <w:spacing w:line="480" w:lineRule="auto"/>
        <w:ind w:left="720" w:hanging="720"/>
        <w:jc w:val="both"/>
        <w:rPr>
          <w:b/>
          <w:sz w:val="24"/>
          <w:szCs w:val="24"/>
        </w:rPr>
      </w:pPr>
      <w:r w:rsidRPr="00D473A7">
        <w:rPr>
          <w:b/>
          <w:sz w:val="24"/>
          <w:szCs w:val="24"/>
        </w:rPr>
        <w:t>Q.</w:t>
      </w:r>
      <w:r w:rsidRPr="00D473A7">
        <w:rPr>
          <w:b/>
          <w:sz w:val="24"/>
          <w:szCs w:val="24"/>
        </w:rPr>
        <w:tab/>
        <w:t xml:space="preserve">How does </w:t>
      </w:r>
      <w:r w:rsidR="00C8262C">
        <w:rPr>
          <w:b/>
          <w:sz w:val="24"/>
          <w:szCs w:val="24"/>
        </w:rPr>
        <w:t>CEHE</w:t>
      </w:r>
      <w:r w:rsidRPr="00D473A7">
        <w:rPr>
          <w:b/>
          <w:sz w:val="24"/>
          <w:szCs w:val="24"/>
        </w:rPr>
        <w:t>’s proposal deviate from class load coincident with ERCOT 4CP?</w:t>
      </w:r>
    </w:p>
    <w:p w:rsidR="00D473A7" w:rsidRPr="00837A6C" w:rsidRDefault="00D473A7" w:rsidP="00837A6C">
      <w:pPr>
        <w:spacing w:line="480" w:lineRule="auto"/>
        <w:ind w:left="720" w:hanging="720"/>
        <w:jc w:val="both"/>
        <w:rPr>
          <w:sz w:val="24"/>
          <w:szCs w:val="24"/>
          <w:vertAlign w:val="superscript"/>
        </w:rPr>
      </w:pPr>
      <w:r>
        <w:rPr>
          <w:sz w:val="24"/>
          <w:szCs w:val="24"/>
        </w:rPr>
        <w:t>A.</w:t>
      </w:r>
      <w:r>
        <w:rPr>
          <w:sz w:val="24"/>
          <w:szCs w:val="24"/>
        </w:rPr>
        <w:tab/>
        <w:t xml:space="preserve">The Company is using class loads at the time of the peak of its </w:t>
      </w:r>
      <w:r w:rsidRPr="00676DCA">
        <w:rPr>
          <w:i/>
          <w:sz w:val="24"/>
          <w:szCs w:val="24"/>
        </w:rPr>
        <w:t>distribution</w:t>
      </w:r>
      <w:r>
        <w:rPr>
          <w:sz w:val="24"/>
          <w:szCs w:val="24"/>
        </w:rPr>
        <w:t xml:space="preserve"> system, which does not peak at the same time as the ERCOT transmission grid.  During the Test Year, </w:t>
      </w:r>
      <w:r w:rsidR="00C8262C">
        <w:rPr>
          <w:sz w:val="24"/>
          <w:szCs w:val="24"/>
        </w:rPr>
        <w:t>CEHE</w:t>
      </w:r>
      <w:r>
        <w:rPr>
          <w:sz w:val="24"/>
          <w:szCs w:val="24"/>
        </w:rPr>
        <w:t>’s</w:t>
      </w:r>
      <w:r w:rsidR="00B3277B">
        <w:rPr>
          <w:sz w:val="24"/>
          <w:szCs w:val="24"/>
        </w:rPr>
        <w:t xml:space="preserve"> distribution system peaked at 4:16 </w:t>
      </w:r>
      <w:r>
        <w:rPr>
          <w:sz w:val="24"/>
          <w:szCs w:val="24"/>
        </w:rPr>
        <w:t xml:space="preserve">pm on </w:t>
      </w:r>
      <w:r w:rsidR="00B3277B">
        <w:rPr>
          <w:sz w:val="24"/>
          <w:szCs w:val="24"/>
        </w:rPr>
        <w:t xml:space="preserve">Wednesday, </w:t>
      </w:r>
      <w:r>
        <w:rPr>
          <w:sz w:val="24"/>
          <w:szCs w:val="24"/>
        </w:rPr>
        <w:t>August 2</w:t>
      </w:r>
      <w:r w:rsidR="00B3277B">
        <w:rPr>
          <w:sz w:val="24"/>
          <w:szCs w:val="24"/>
        </w:rPr>
        <w:t>2</w:t>
      </w:r>
      <w:r w:rsidRPr="00D473A7">
        <w:rPr>
          <w:sz w:val="24"/>
          <w:szCs w:val="24"/>
          <w:vertAlign w:val="superscript"/>
        </w:rPr>
        <w:t>rd</w:t>
      </w:r>
      <w:r>
        <w:rPr>
          <w:sz w:val="24"/>
          <w:szCs w:val="24"/>
        </w:rPr>
        <w:t xml:space="preserve">.  </w:t>
      </w:r>
      <w:r>
        <w:rPr>
          <w:sz w:val="24"/>
          <w:szCs w:val="24"/>
        </w:rPr>
        <w:lastRenderedPageBreak/>
        <w:t xml:space="preserve">However, the ERCOT transmission system peaked at </w:t>
      </w:r>
      <w:r w:rsidR="00B3277B">
        <w:rPr>
          <w:sz w:val="24"/>
          <w:szCs w:val="24"/>
        </w:rPr>
        <w:t xml:space="preserve">4:45 </w:t>
      </w:r>
      <w:r>
        <w:rPr>
          <w:sz w:val="24"/>
          <w:szCs w:val="24"/>
        </w:rPr>
        <w:t xml:space="preserve">pm on </w:t>
      </w:r>
      <w:r w:rsidR="00B3277B">
        <w:rPr>
          <w:sz w:val="24"/>
          <w:szCs w:val="24"/>
        </w:rPr>
        <w:t xml:space="preserve">Thursday, </w:t>
      </w:r>
      <w:r>
        <w:rPr>
          <w:sz w:val="24"/>
          <w:szCs w:val="24"/>
        </w:rPr>
        <w:t>August 2</w:t>
      </w:r>
      <w:r w:rsidR="00B3277B">
        <w:rPr>
          <w:sz w:val="24"/>
          <w:szCs w:val="24"/>
        </w:rPr>
        <w:t>3</w:t>
      </w:r>
      <w:r w:rsidR="00837A6C" w:rsidRPr="00837A6C">
        <w:rPr>
          <w:sz w:val="24"/>
          <w:szCs w:val="24"/>
          <w:vertAlign w:val="superscript"/>
        </w:rPr>
        <w:t xml:space="preserve"> </w:t>
      </w:r>
      <w:r w:rsidR="00837A6C">
        <w:rPr>
          <w:sz w:val="24"/>
          <w:szCs w:val="24"/>
          <w:vertAlign w:val="superscript"/>
        </w:rPr>
        <w:t>rd</w:t>
      </w:r>
      <w:r w:rsidR="00837A6C">
        <w:rPr>
          <w:sz w:val="24"/>
          <w:szCs w:val="24"/>
        </w:rPr>
        <w:t>.</w:t>
      </w:r>
      <w:r w:rsidR="00837A6C">
        <w:rPr>
          <w:rStyle w:val="FootnoteReference"/>
          <w:sz w:val="24"/>
          <w:szCs w:val="24"/>
        </w:rPr>
        <w:footnoteReference w:id="82"/>
      </w:r>
      <w:r w:rsidR="00837A6C">
        <w:rPr>
          <w:sz w:val="24"/>
          <w:szCs w:val="24"/>
          <w:vertAlign w:val="superscript"/>
        </w:rPr>
        <w:t xml:space="preserve">  </w:t>
      </w:r>
      <w:r>
        <w:rPr>
          <w:sz w:val="24"/>
          <w:szCs w:val="24"/>
        </w:rPr>
        <w:t xml:space="preserve"> </w:t>
      </w:r>
    </w:p>
    <w:p w:rsidR="00D473A7" w:rsidRDefault="00D473A7" w:rsidP="00837A6C">
      <w:pPr>
        <w:spacing w:line="480" w:lineRule="auto"/>
        <w:ind w:left="720" w:firstLine="720"/>
        <w:jc w:val="both"/>
        <w:rPr>
          <w:sz w:val="24"/>
          <w:szCs w:val="24"/>
        </w:rPr>
      </w:pPr>
      <w:r>
        <w:rPr>
          <w:sz w:val="24"/>
          <w:szCs w:val="24"/>
        </w:rPr>
        <w:t xml:space="preserve">Class loads at the time of the peak of </w:t>
      </w:r>
      <w:r w:rsidR="00C8262C">
        <w:rPr>
          <w:sz w:val="24"/>
          <w:szCs w:val="24"/>
        </w:rPr>
        <w:t>CEHE</w:t>
      </w:r>
      <w:r>
        <w:rPr>
          <w:sz w:val="24"/>
          <w:szCs w:val="24"/>
        </w:rPr>
        <w:t xml:space="preserve">’s distribution system are not the same as loads coincident with ERCOT 4CP, and do not drive the Company’s ERCOT transmission payments.  The Company’s proposal is </w:t>
      </w:r>
      <w:r w:rsidR="00676DCA">
        <w:rPr>
          <w:sz w:val="24"/>
          <w:szCs w:val="24"/>
        </w:rPr>
        <w:t>in</w:t>
      </w:r>
      <w:r>
        <w:rPr>
          <w:sz w:val="24"/>
          <w:szCs w:val="24"/>
        </w:rPr>
        <w:t>consist</w:t>
      </w:r>
      <w:r w:rsidR="00474A0D">
        <w:rPr>
          <w:sz w:val="24"/>
          <w:szCs w:val="24"/>
        </w:rPr>
        <w:t>ent with cost causation.</w:t>
      </w:r>
    </w:p>
    <w:p w:rsidR="00837A6C" w:rsidRPr="008462F7" w:rsidRDefault="008462F7" w:rsidP="008462F7">
      <w:pPr>
        <w:spacing w:line="480" w:lineRule="auto"/>
        <w:ind w:left="720" w:hanging="720"/>
        <w:jc w:val="both"/>
        <w:rPr>
          <w:b/>
          <w:sz w:val="24"/>
          <w:szCs w:val="24"/>
        </w:rPr>
      </w:pPr>
      <w:r w:rsidRPr="008462F7">
        <w:rPr>
          <w:b/>
          <w:sz w:val="24"/>
          <w:szCs w:val="24"/>
        </w:rPr>
        <w:t>Q.</w:t>
      </w:r>
      <w:r w:rsidRPr="008462F7">
        <w:rPr>
          <w:b/>
          <w:sz w:val="24"/>
          <w:szCs w:val="24"/>
        </w:rPr>
        <w:tab/>
        <w:t>Do the Commission rules provide that ERCOT transmission payments be assessed on the basis of ERCOT 4CP?</w:t>
      </w:r>
    </w:p>
    <w:p w:rsidR="00EE50C6" w:rsidRPr="00B460A0" w:rsidRDefault="008462F7" w:rsidP="00FC6C6A">
      <w:pPr>
        <w:spacing w:line="480" w:lineRule="auto"/>
        <w:ind w:left="720" w:hanging="720"/>
        <w:jc w:val="both"/>
        <w:rPr>
          <w:sz w:val="24"/>
          <w:szCs w:val="24"/>
        </w:rPr>
      </w:pPr>
      <w:r w:rsidRPr="00B460A0">
        <w:rPr>
          <w:sz w:val="24"/>
          <w:szCs w:val="24"/>
        </w:rPr>
        <w:t>A.</w:t>
      </w:r>
      <w:r w:rsidRPr="00B460A0">
        <w:rPr>
          <w:sz w:val="24"/>
          <w:szCs w:val="24"/>
        </w:rPr>
        <w:tab/>
        <w:t xml:space="preserve">Yes.  </w:t>
      </w:r>
      <w:r w:rsidR="00B460A0">
        <w:rPr>
          <w:sz w:val="24"/>
          <w:szCs w:val="24"/>
        </w:rPr>
        <w:t>16 T</w:t>
      </w:r>
      <w:r w:rsidR="0040398F">
        <w:rPr>
          <w:sz w:val="24"/>
          <w:szCs w:val="24"/>
        </w:rPr>
        <w:t xml:space="preserve">exas </w:t>
      </w:r>
      <w:r w:rsidR="00B460A0">
        <w:rPr>
          <w:sz w:val="24"/>
          <w:szCs w:val="24"/>
        </w:rPr>
        <w:t>A</w:t>
      </w:r>
      <w:r w:rsidR="0040398F">
        <w:rPr>
          <w:sz w:val="24"/>
          <w:szCs w:val="24"/>
        </w:rPr>
        <w:t xml:space="preserve">dministrative </w:t>
      </w:r>
      <w:r w:rsidR="00B460A0">
        <w:rPr>
          <w:sz w:val="24"/>
          <w:szCs w:val="24"/>
        </w:rPr>
        <w:t>C</w:t>
      </w:r>
      <w:r w:rsidR="0040398F">
        <w:rPr>
          <w:sz w:val="24"/>
          <w:szCs w:val="24"/>
        </w:rPr>
        <w:t>ode (TAC)</w:t>
      </w:r>
      <w:r w:rsidR="00B460A0">
        <w:rPr>
          <w:sz w:val="24"/>
          <w:szCs w:val="24"/>
        </w:rPr>
        <w:t xml:space="preserve"> § </w:t>
      </w:r>
      <w:r w:rsidR="00F36CBD" w:rsidRPr="00B460A0">
        <w:rPr>
          <w:sz w:val="24"/>
          <w:szCs w:val="24"/>
        </w:rPr>
        <w:t>25.192 (d)</w:t>
      </w:r>
      <w:r w:rsidR="00B460A0" w:rsidRPr="00B460A0">
        <w:rPr>
          <w:sz w:val="24"/>
          <w:szCs w:val="24"/>
        </w:rPr>
        <w:t xml:space="preserve"> provides:</w:t>
      </w:r>
    </w:p>
    <w:p w:rsidR="008462F7" w:rsidRDefault="00B460A0" w:rsidP="00B460A0">
      <w:pPr>
        <w:ind w:left="1440" w:right="720"/>
        <w:jc w:val="both"/>
        <w:rPr>
          <w:sz w:val="24"/>
          <w:szCs w:val="24"/>
        </w:rPr>
      </w:pPr>
      <w:r w:rsidRPr="00B460A0">
        <w:rPr>
          <w:sz w:val="24"/>
          <w:szCs w:val="24"/>
        </w:rPr>
        <w:t>(d) Billing units. No later than December 1 of each year,</w:t>
      </w:r>
      <w:r>
        <w:rPr>
          <w:sz w:val="24"/>
          <w:szCs w:val="24"/>
        </w:rPr>
        <w:t xml:space="preserve"> ERCOT shall determine and file </w:t>
      </w:r>
      <w:r w:rsidRPr="00B460A0">
        <w:rPr>
          <w:sz w:val="24"/>
          <w:szCs w:val="24"/>
        </w:rPr>
        <w:t>with the</w:t>
      </w:r>
      <w:r>
        <w:rPr>
          <w:sz w:val="24"/>
          <w:szCs w:val="24"/>
        </w:rPr>
        <w:t xml:space="preserve"> </w:t>
      </w:r>
      <w:r w:rsidRPr="00B460A0">
        <w:rPr>
          <w:sz w:val="24"/>
          <w:szCs w:val="24"/>
        </w:rPr>
        <w:t>commission the current year’s average 4CP demand for each DSP, or the DSP’s agent for transmission</w:t>
      </w:r>
      <w:r>
        <w:rPr>
          <w:sz w:val="24"/>
          <w:szCs w:val="24"/>
        </w:rPr>
        <w:t xml:space="preserve"> </w:t>
      </w:r>
      <w:r w:rsidRPr="00B460A0">
        <w:rPr>
          <w:sz w:val="24"/>
          <w:szCs w:val="24"/>
        </w:rPr>
        <w:t>service billing purposes, as appropriate, excluding the portion of coincident peak demand attributable</w:t>
      </w:r>
      <w:r>
        <w:rPr>
          <w:sz w:val="24"/>
          <w:szCs w:val="24"/>
        </w:rPr>
        <w:t xml:space="preserve"> </w:t>
      </w:r>
      <w:r w:rsidRPr="00B460A0">
        <w:rPr>
          <w:sz w:val="24"/>
          <w:szCs w:val="24"/>
        </w:rPr>
        <w:t>to wholesale storage load. This demand shall be used to bill transmission service for the next year. The</w:t>
      </w:r>
      <w:r>
        <w:rPr>
          <w:sz w:val="24"/>
          <w:szCs w:val="24"/>
        </w:rPr>
        <w:t xml:space="preserve"> </w:t>
      </w:r>
      <w:r w:rsidRPr="00B460A0">
        <w:rPr>
          <w:sz w:val="24"/>
          <w:szCs w:val="24"/>
        </w:rPr>
        <w:t>ERCOT average 4CP demand shall be the sum of the coincident peak of all of the ERCOT DSPs,</w:t>
      </w:r>
      <w:r>
        <w:rPr>
          <w:sz w:val="24"/>
          <w:szCs w:val="24"/>
        </w:rPr>
        <w:t xml:space="preserve"> </w:t>
      </w:r>
      <w:r w:rsidRPr="00B460A0">
        <w:rPr>
          <w:sz w:val="24"/>
          <w:szCs w:val="24"/>
        </w:rPr>
        <w:t>excluding the portion of coincident peak demand attributable to wholesale storage load, for the four</w:t>
      </w:r>
      <w:r>
        <w:rPr>
          <w:sz w:val="24"/>
          <w:szCs w:val="24"/>
        </w:rPr>
        <w:t xml:space="preserve"> </w:t>
      </w:r>
      <w:r w:rsidRPr="00B460A0">
        <w:rPr>
          <w:sz w:val="24"/>
          <w:szCs w:val="24"/>
        </w:rPr>
        <w:t>intervals coincident with ERCOT system peak for the months of June, July, August, and September,</w:t>
      </w:r>
      <w:r>
        <w:rPr>
          <w:sz w:val="24"/>
          <w:szCs w:val="24"/>
        </w:rPr>
        <w:t xml:space="preserve"> </w:t>
      </w:r>
      <w:r w:rsidRPr="00B460A0">
        <w:rPr>
          <w:sz w:val="24"/>
          <w:szCs w:val="24"/>
        </w:rPr>
        <w:t>divided by four. As used in this section, a DSP’s average 4CP demand is determined from the total</w:t>
      </w:r>
      <w:r>
        <w:rPr>
          <w:sz w:val="24"/>
          <w:szCs w:val="24"/>
        </w:rPr>
        <w:t xml:space="preserve"> </w:t>
      </w:r>
      <w:r w:rsidRPr="00B460A0">
        <w:rPr>
          <w:sz w:val="24"/>
          <w:szCs w:val="24"/>
        </w:rPr>
        <w:t>demand, coincident with the ERCOT 4CP, of all customers connected to a DSP, including load served</w:t>
      </w:r>
      <w:r>
        <w:rPr>
          <w:sz w:val="24"/>
          <w:szCs w:val="24"/>
        </w:rPr>
        <w:t xml:space="preserve"> </w:t>
      </w:r>
      <w:r w:rsidRPr="00B460A0">
        <w:rPr>
          <w:sz w:val="24"/>
          <w:szCs w:val="24"/>
        </w:rPr>
        <w:t>at transmission voltage, but excluding the load of wholesale storage entities. The measurement of the</w:t>
      </w:r>
      <w:r>
        <w:rPr>
          <w:sz w:val="24"/>
          <w:szCs w:val="24"/>
        </w:rPr>
        <w:t xml:space="preserve"> </w:t>
      </w:r>
      <w:r w:rsidRPr="00B460A0">
        <w:rPr>
          <w:sz w:val="24"/>
          <w:szCs w:val="24"/>
        </w:rPr>
        <w:t>coincident peak shall be in accordance with commission-approved ERCOT protocols.</w:t>
      </w:r>
    </w:p>
    <w:p w:rsidR="00B460A0" w:rsidRDefault="00B460A0" w:rsidP="00B460A0">
      <w:pPr>
        <w:ind w:left="720" w:hanging="720"/>
        <w:jc w:val="both"/>
        <w:rPr>
          <w:sz w:val="24"/>
          <w:szCs w:val="24"/>
        </w:rPr>
      </w:pPr>
    </w:p>
    <w:p w:rsidR="008462F7" w:rsidRPr="00C85D1C" w:rsidRDefault="008462F7" w:rsidP="00FC6C6A">
      <w:pPr>
        <w:spacing w:line="480" w:lineRule="auto"/>
        <w:ind w:left="720" w:hanging="720"/>
        <w:jc w:val="both"/>
        <w:rPr>
          <w:sz w:val="24"/>
          <w:szCs w:val="24"/>
        </w:rPr>
      </w:pPr>
      <w:r>
        <w:rPr>
          <w:sz w:val="24"/>
          <w:szCs w:val="24"/>
        </w:rPr>
        <w:lastRenderedPageBreak/>
        <w:tab/>
      </w:r>
      <w:r>
        <w:rPr>
          <w:sz w:val="24"/>
          <w:szCs w:val="24"/>
        </w:rPr>
        <w:tab/>
      </w:r>
      <w:r w:rsidR="00C8262C">
        <w:rPr>
          <w:sz w:val="24"/>
          <w:szCs w:val="24"/>
        </w:rPr>
        <w:t>CEHE</w:t>
      </w:r>
      <w:r>
        <w:rPr>
          <w:sz w:val="24"/>
          <w:szCs w:val="24"/>
        </w:rPr>
        <w:t>’s proposed use of distribution peak loads is not consistent with the Commission’s Rules.</w:t>
      </w:r>
    </w:p>
    <w:p w:rsidR="00C85D1C" w:rsidRDefault="007331AB" w:rsidP="00FC6C6A">
      <w:pPr>
        <w:spacing w:line="480" w:lineRule="auto"/>
        <w:ind w:left="720" w:hanging="720"/>
        <w:jc w:val="both"/>
        <w:rPr>
          <w:b/>
          <w:sz w:val="24"/>
          <w:szCs w:val="24"/>
        </w:rPr>
      </w:pPr>
      <w:r>
        <w:rPr>
          <w:b/>
          <w:sz w:val="24"/>
          <w:szCs w:val="24"/>
        </w:rPr>
        <w:t>Q.</w:t>
      </w:r>
      <w:r>
        <w:rPr>
          <w:b/>
          <w:sz w:val="24"/>
          <w:szCs w:val="24"/>
        </w:rPr>
        <w:tab/>
        <w:t xml:space="preserve">Was </w:t>
      </w:r>
      <w:r w:rsidR="00C8262C">
        <w:rPr>
          <w:b/>
          <w:sz w:val="24"/>
          <w:szCs w:val="24"/>
        </w:rPr>
        <w:t>CEHE</w:t>
      </w:r>
      <w:r>
        <w:rPr>
          <w:b/>
          <w:sz w:val="24"/>
          <w:szCs w:val="24"/>
        </w:rPr>
        <w:t xml:space="preserve">’s class allocation of ERCOT transmission payments a disputed issue in Docket No. 38339, </w:t>
      </w:r>
      <w:r w:rsidR="00C8262C">
        <w:rPr>
          <w:b/>
          <w:sz w:val="24"/>
          <w:szCs w:val="24"/>
        </w:rPr>
        <w:t>CEHE</w:t>
      </w:r>
      <w:r w:rsidR="009C5B0B">
        <w:rPr>
          <w:b/>
          <w:sz w:val="24"/>
          <w:szCs w:val="24"/>
        </w:rPr>
        <w:t>’s last fully litigated</w:t>
      </w:r>
      <w:r>
        <w:rPr>
          <w:b/>
          <w:sz w:val="24"/>
          <w:szCs w:val="24"/>
        </w:rPr>
        <w:t xml:space="preserve"> base-rate proceeding?</w:t>
      </w:r>
    </w:p>
    <w:p w:rsidR="007331AB" w:rsidRDefault="007331AB" w:rsidP="00FC6C6A">
      <w:pPr>
        <w:spacing w:line="480" w:lineRule="auto"/>
        <w:ind w:left="720" w:hanging="720"/>
        <w:jc w:val="both"/>
        <w:rPr>
          <w:sz w:val="24"/>
          <w:szCs w:val="24"/>
        </w:rPr>
      </w:pPr>
      <w:r w:rsidRPr="007331AB">
        <w:rPr>
          <w:sz w:val="24"/>
          <w:szCs w:val="24"/>
        </w:rPr>
        <w:t>A.</w:t>
      </w:r>
      <w:r w:rsidRPr="007331AB">
        <w:rPr>
          <w:sz w:val="24"/>
          <w:szCs w:val="24"/>
        </w:rPr>
        <w:tab/>
      </w:r>
      <w:r>
        <w:rPr>
          <w:sz w:val="24"/>
          <w:szCs w:val="24"/>
        </w:rPr>
        <w:t>Yes.</w:t>
      </w:r>
      <w:r w:rsidR="00E46244">
        <w:rPr>
          <w:sz w:val="24"/>
          <w:szCs w:val="24"/>
        </w:rPr>
        <w:t xml:space="preserve">  In the Proposal for Decision, </w:t>
      </w:r>
      <w:r w:rsidR="0012298C">
        <w:rPr>
          <w:sz w:val="24"/>
          <w:szCs w:val="24"/>
        </w:rPr>
        <w:t xml:space="preserve">referring to the ERCOT 4-CP, </w:t>
      </w:r>
      <w:r w:rsidR="00E46244">
        <w:rPr>
          <w:sz w:val="24"/>
          <w:szCs w:val="24"/>
        </w:rPr>
        <w:t>the ALJs found:</w:t>
      </w:r>
    </w:p>
    <w:p w:rsidR="00E46244" w:rsidRPr="00A8092B" w:rsidRDefault="00E46244" w:rsidP="00A8092B">
      <w:pPr>
        <w:ind w:left="720" w:right="720" w:hanging="720"/>
        <w:jc w:val="both"/>
        <w:rPr>
          <w:b/>
          <w:sz w:val="24"/>
          <w:szCs w:val="24"/>
        </w:rPr>
      </w:pPr>
      <w:r>
        <w:rPr>
          <w:sz w:val="24"/>
          <w:szCs w:val="24"/>
        </w:rPr>
        <w:tab/>
      </w:r>
      <w:r>
        <w:rPr>
          <w:sz w:val="24"/>
          <w:szCs w:val="24"/>
        </w:rPr>
        <w:tab/>
      </w:r>
      <w:r w:rsidRPr="00A8092B">
        <w:rPr>
          <w:b/>
          <w:sz w:val="24"/>
          <w:szCs w:val="24"/>
        </w:rPr>
        <w:t xml:space="preserve">4CP </w:t>
      </w:r>
      <w:r w:rsidR="00A8092B" w:rsidRPr="00A8092B">
        <w:rPr>
          <w:b/>
          <w:sz w:val="24"/>
          <w:szCs w:val="24"/>
        </w:rPr>
        <w:t>Transmission Cost Allocation Factor</w:t>
      </w:r>
    </w:p>
    <w:p w:rsidR="00A8092B" w:rsidRDefault="00A8092B" w:rsidP="00A8092B">
      <w:pPr>
        <w:ind w:left="1440" w:right="720" w:hanging="720"/>
        <w:jc w:val="both"/>
        <w:rPr>
          <w:sz w:val="24"/>
          <w:szCs w:val="24"/>
        </w:rPr>
      </w:pPr>
      <w:r>
        <w:rPr>
          <w:sz w:val="24"/>
          <w:szCs w:val="24"/>
        </w:rPr>
        <w:tab/>
        <w:t xml:space="preserve">For the Transmission Cost Allocation Factor, the four coincident peak (4CP) methodology should be used, but </w:t>
      </w:r>
      <w:r w:rsidR="00C8262C">
        <w:rPr>
          <w:sz w:val="24"/>
          <w:szCs w:val="24"/>
        </w:rPr>
        <w:t>CEHE</w:t>
      </w:r>
      <w:r>
        <w:rPr>
          <w:sz w:val="24"/>
          <w:szCs w:val="24"/>
        </w:rPr>
        <w:t>’s proposed adjustments for weather, the number of year-end customers, and the use of 15-minute demands rather than hourly demands should be rejected.</w:t>
      </w:r>
      <w:r>
        <w:rPr>
          <w:rStyle w:val="FootnoteReference"/>
          <w:sz w:val="24"/>
          <w:szCs w:val="24"/>
        </w:rPr>
        <w:footnoteReference w:id="83"/>
      </w:r>
    </w:p>
    <w:p w:rsidR="00976D69" w:rsidRDefault="00976D69" w:rsidP="00976D69">
      <w:pPr>
        <w:ind w:right="720"/>
        <w:jc w:val="both"/>
        <w:rPr>
          <w:sz w:val="24"/>
          <w:szCs w:val="24"/>
        </w:rPr>
      </w:pPr>
    </w:p>
    <w:p w:rsidR="00976D69" w:rsidRDefault="00976D69" w:rsidP="00C17B0C">
      <w:pPr>
        <w:spacing w:line="480" w:lineRule="auto"/>
        <w:ind w:left="720" w:firstLine="720"/>
        <w:jc w:val="both"/>
        <w:rPr>
          <w:sz w:val="24"/>
          <w:szCs w:val="24"/>
        </w:rPr>
      </w:pPr>
      <w:r>
        <w:rPr>
          <w:sz w:val="24"/>
          <w:szCs w:val="24"/>
        </w:rPr>
        <w:t>The Commission adopted the PFD, and found in its Order on Re-Hearing</w:t>
      </w:r>
      <w:r w:rsidR="00C17B0C">
        <w:rPr>
          <w:sz w:val="24"/>
          <w:szCs w:val="24"/>
        </w:rPr>
        <w:t>, again, referring to the ERCOT 4CP</w:t>
      </w:r>
      <w:r>
        <w:rPr>
          <w:sz w:val="24"/>
          <w:szCs w:val="24"/>
        </w:rPr>
        <w:t>:</w:t>
      </w:r>
    </w:p>
    <w:p w:rsidR="007331AB" w:rsidRDefault="00976D69" w:rsidP="0098606C">
      <w:pPr>
        <w:spacing w:line="480" w:lineRule="auto"/>
        <w:ind w:left="720" w:right="720" w:hanging="720"/>
        <w:jc w:val="both"/>
        <w:rPr>
          <w:sz w:val="24"/>
          <w:szCs w:val="24"/>
        </w:rPr>
      </w:pPr>
      <w:r>
        <w:rPr>
          <w:sz w:val="24"/>
          <w:szCs w:val="24"/>
        </w:rPr>
        <w:tab/>
      </w:r>
      <w:r>
        <w:rPr>
          <w:sz w:val="24"/>
          <w:szCs w:val="24"/>
        </w:rPr>
        <w:tab/>
      </w:r>
      <w:r w:rsidR="000F4D4B">
        <w:rPr>
          <w:sz w:val="24"/>
          <w:szCs w:val="24"/>
        </w:rPr>
        <w:t>FoF 176</w:t>
      </w:r>
      <w:r w:rsidR="000F4D4B">
        <w:rPr>
          <w:sz w:val="24"/>
          <w:szCs w:val="24"/>
        </w:rPr>
        <w:tab/>
        <w:t>The use of 4CP is consistent with cost causation.</w:t>
      </w:r>
    </w:p>
    <w:p w:rsidR="000F4D4B" w:rsidRPr="007331AB" w:rsidRDefault="000F4D4B" w:rsidP="0098606C">
      <w:pPr>
        <w:ind w:left="2880" w:right="720" w:hanging="1440"/>
        <w:jc w:val="both"/>
        <w:rPr>
          <w:sz w:val="24"/>
          <w:szCs w:val="24"/>
        </w:rPr>
      </w:pPr>
      <w:r>
        <w:rPr>
          <w:sz w:val="24"/>
          <w:szCs w:val="24"/>
        </w:rPr>
        <w:t>FoF 177</w:t>
      </w:r>
      <w:r>
        <w:rPr>
          <w:sz w:val="24"/>
          <w:szCs w:val="24"/>
        </w:rPr>
        <w:tab/>
        <w:t xml:space="preserve">CenterPoint’s proposal to use adjusted 4CP is inappropriate and should not be adopted </w:t>
      </w:r>
    </w:p>
    <w:p w:rsidR="000F4D4B" w:rsidRDefault="000F4D4B" w:rsidP="000F4D4B">
      <w:pPr>
        <w:ind w:left="720" w:hanging="720"/>
        <w:jc w:val="both"/>
        <w:rPr>
          <w:b/>
          <w:sz w:val="24"/>
          <w:szCs w:val="24"/>
        </w:rPr>
      </w:pPr>
    </w:p>
    <w:p w:rsidR="000F4D4B" w:rsidRPr="000F4D4B" w:rsidRDefault="000F4D4B" w:rsidP="000F4D4B">
      <w:pPr>
        <w:spacing w:line="480" w:lineRule="auto"/>
        <w:ind w:left="720" w:hanging="720"/>
        <w:jc w:val="both"/>
        <w:rPr>
          <w:sz w:val="24"/>
          <w:szCs w:val="24"/>
        </w:rPr>
      </w:pPr>
      <w:r>
        <w:rPr>
          <w:b/>
          <w:sz w:val="24"/>
          <w:szCs w:val="24"/>
        </w:rPr>
        <w:tab/>
      </w:r>
      <w:r>
        <w:rPr>
          <w:b/>
          <w:sz w:val="24"/>
          <w:szCs w:val="24"/>
        </w:rPr>
        <w:tab/>
      </w:r>
      <w:r w:rsidRPr="000F4D4B">
        <w:rPr>
          <w:sz w:val="24"/>
          <w:szCs w:val="24"/>
        </w:rPr>
        <w:t xml:space="preserve">In Docket No. </w:t>
      </w:r>
      <w:r>
        <w:rPr>
          <w:sz w:val="24"/>
          <w:szCs w:val="24"/>
        </w:rPr>
        <w:t xml:space="preserve">38339, the Commission rejected adjustments to the 4CP data for use in the allocation of ERCOT transmission payments.  In this proceeding, the Company has proposed a more significant deviation—abandonment of ERCOT 4CP in favor of </w:t>
      </w:r>
      <w:r w:rsidR="00C8262C">
        <w:rPr>
          <w:sz w:val="24"/>
          <w:szCs w:val="24"/>
        </w:rPr>
        <w:t>CEHE</w:t>
      </w:r>
      <w:r>
        <w:rPr>
          <w:sz w:val="24"/>
          <w:szCs w:val="24"/>
        </w:rPr>
        <w:t>’s distribution peak loads.</w:t>
      </w:r>
    </w:p>
    <w:p w:rsidR="00CA2B70" w:rsidRDefault="004B697A" w:rsidP="00FC6C6A">
      <w:pPr>
        <w:spacing w:line="480" w:lineRule="auto"/>
        <w:ind w:left="720" w:hanging="720"/>
        <w:jc w:val="both"/>
        <w:rPr>
          <w:b/>
          <w:sz w:val="24"/>
          <w:szCs w:val="24"/>
        </w:rPr>
      </w:pPr>
      <w:r>
        <w:rPr>
          <w:b/>
          <w:sz w:val="24"/>
          <w:szCs w:val="24"/>
        </w:rPr>
        <w:lastRenderedPageBreak/>
        <w:t>Q.</w:t>
      </w:r>
      <w:r>
        <w:rPr>
          <w:b/>
          <w:sz w:val="24"/>
          <w:szCs w:val="24"/>
        </w:rPr>
        <w:tab/>
        <w:t>Has ERCOT 4CP been adopted as the class allocation basis for ERCOT transmission payments in all litigated base-rate proceedings since unbundling?</w:t>
      </w:r>
    </w:p>
    <w:p w:rsidR="004B697A" w:rsidRPr="004B697A" w:rsidRDefault="004B697A" w:rsidP="00FC6C6A">
      <w:pPr>
        <w:spacing w:line="480" w:lineRule="auto"/>
        <w:ind w:left="720" w:hanging="720"/>
        <w:jc w:val="both"/>
        <w:rPr>
          <w:sz w:val="24"/>
          <w:szCs w:val="24"/>
        </w:rPr>
      </w:pPr>
      <w:r w:rsidRPr="004B697A">
        <w:rPr>
          <w:sz w:val="24"/>
          <w:szCs w:val="24"/>
        </w:rPr>
        <w:t>A.</w:t>
      </w:r>
      <w:r w:rsidRPr="004B697A">
        <w:rPr>
          <w:sz w:val="24"/>
          <w:szCs w:val="24"/>
        </w:rPr>
        <w:tab/>
        <w:t xml:space="preserve">Yes.  </w:t>
      </w:r>
      <w:r>
        <w:rPr>
          <w:sz w:val="24"/>
          <w:szCs w:val="24"/>
        </w:rPr>
        <w:t>The use of ERCOT 4CP</w:t>
      </w:r>
      <w:r w:rsidRPr="004B697A">
        <w:rPr>
          <w:sz w:val="24"/>
          <w:szCs w:val="24"/>
        </w:rPr>
        <w:t xml:space="preserve"> was adopted in Docket Nos. 28840,</w:t>
      </w:r>
      <w:r>
        <w:rPr>
          <w:rStyle w:val="FootnoteReference"/>
          <w:sz w:val="24"/>
          <w:szCs w:val="24"/>
        </w:rPr>
        <w:footnoteReference w:id="84"/>
      </w:r>
      <w:r w:rsidRPr="004B697A">
        <w:rPr>
          <w:sz w:val="24"/>
          <w:szCs w:val="24"/>
        </w:rPr>
        <w:t xml:space="preserve"> 33309, 35717, and 38339.  </w:t>
      </w:r>
    </w:p>
    <w:p w:rsidR="00CA2B70" w:rsidRDefault="00763B8E" w:rsidP="00FC6C6A">
      <w:pPr>
        <w:spacing w:line="480" w:lineRule="auto"/>
        <w:ind w:left="720" w:hanging="720"/>
        <w:jc w:val="both"/>
        <w:rPr>
          <w:b/>
          <w:sz w:val="24"/>
          <w:szCs w:val="24"/>
        </w:rPr>
      </w:pPr>
      <w:r w:rsidRPr="00763B8E">
        <w:rPr>
          <w:b/>
          <w:sz w:val="24"/>
          <w:szCs w:val="24"/>
        </w:rPr>
        <w:t>Q.</w:t>
      </w:r>
      <w:r w:rsidRPr="00763B8E">
        <w:rPr>
          <w:b/>
          <w:sz w:val="24"/>
          <w:szCs w:val="24"/>
        </w:rPr>
        <w:tab/>
      </w:r>
      <w:r w:rsidR="00E40BD7">
        <w:rPr>
          <w:b/>
          <w:sz w:val="24"/>
          <w:szCs w:val="24"/>
        </w:rPr>
        <w:t xml:space="preserve">Did </w:t>
      </w:r>
      <w:r w:rsidR="00C8262C">
        <w:rPr>
          <w:b/>
          <w:sz w:val="24"/>
          <w:szCs w:val="24"/>
        </w:rPr>
        <w:t>CEHE</w:t>
      </w:r>
      <w:r w:rsidR="00E40BD7">
        <w:rPr>
          <w:b/>
          <w:sz w:val="24"/>
          <w:szCs w:val="24"/>
        </w:rPr>
        <w:t xml:space="preserve"> present any arguments in support of its proposal to deviate from cost causation and from the Commission’s rules and precedents?</w:t>
      </w:r>
    </w:p>
    <w:p w:rsidR="00E40BD7" w:rsidRDefault="00E40BD7" w:rsidP="00FC6C6A">
      <w:pPr>
        <w:spacing w:line="480" w:lineRule="auto"/>
        <w:ind w:left="720" w:hanging="720"/>
        <w:jc w:val="both"/>
        <w:rPr>
          <w:sz w:val="24"/>
          <w:szCs w:val="24"/>
        </w:rPr>
      </w:pPr>
      <w:r w:rsidRPr="00E40BD7">
        <w:rPr>
          <w:sz w:val="24"/>
          <w:szCs w:val="24"/>
        </w:rPr>
        <w:t>A.</w:t>
      </w:r>
      <w:r w:rsidRPr="00E40BD7">
        <w:rPr>
          <w:sz w:val="24"/>
          <w:szCs w:val="24"/>
        </w:rPr>
        <w:tab/>
        <w:t xml:space="preserve">No, not to my knowledge.  </w:t>
      </w:r>
    </w:p>
    <w:p w:rsidR="00C02D71" w:rsidRDefault="00C02D71" w:rsidP="00C02D71">
      <w:pPr>
        <w:suppressLineNumbers/>
        <w:spacing w:line="480" w:lineRule="auto"/>
        <w:ind w:left="720" w:hanging="720"/>
        <w:jc w:val="both"/>
        <w:rPr>
          <w:b/>
          <w:sz w:val="24"/>
          <w:szCs w:val="24"/>
        </w:rPr>
      </w:pPr>
    </w:p>
    <w:p w:rsidR="006F08AC" w:rsidRPr="00201504" w:rsidRDefault="006F08AC" w:rsidP="00FC6C6A">
      <w:pPr>
        <w:spacing w:line="480" w:lineRule="auto"/>
        <w:ind w:left="720" w:hanging="720"/>
        <w:jc w:val="both"/>
        <w:rPr>
          <w:b/>
          <w:sz w:val="24"/>
          <w:szCs w:val="24"/>
        </w:rPr>
      </w:pPr>
      <w:r w:rsidRPr="00201504">
        <w:rPr>
          <w:b/>
          <w:sz w:val="24"/>
          <w:szCs w:val="24"/>
        </w:rPr>
        <w:t>Q.</w:t>
      </w:r>
      <w:r w:rsidRPr="00201504">
        <w:rPr>
          <w:b/>
          <w:sz w:val="24"/>
          <w:szCs w:val="24"/>
        </w:rPr>
        <w:tab/>
      </w:r>
      <w:r w:rsidR="00201504" w:rsidRPr="00201504">
        <w:rPr>
          <w:b/>
          <w:sz w:val="24"/>
          <w:szCs w:val="24"/>
        </w:rPr>
        <w:t xml:space="preserve">Does the </w:t>
      </w:r>
      <w:r w:rsidR="00C02D71">
        <w:rPr>
          <w:b/>
          <w:sz w:val="24"/>
          <w:szCs w:val="24"/>
        </w:rPr>
        <w:t xml:space="preserve">use of </w:t>
      </w:r>
      <w:r w:rsidR="00201504" w:rsidRPr="00201504">
        <w:rPr>
          <w:b/>
          <w:sz w:val="24"/>
          <w:szCs w:val="24"/>
        </w:rPr>
        <w:t xml:space="preserve">ERCOT 4CP instead of </w:t>
      </w:r>
      <w:r w:rsidR="00C8262C">
        <w:rPr>
          <w:b/>
          <w:sz w:val="24"/>
          <w:szCs w:val="24"/>
        </w:rPr>
        <w:t>CEHE</w:t>
      </w:r>
      <w:r w:rsidR="00201504" w:rsidRPr="00201504">
        <w:rPr>
          <w:b/>
          <w:sz w:val="24"/>
          <w:szCs w:val="24"/>
        </w:rPr>
        <w:t>’s 4CP harm the Company in any way?</w:t>
      </w:r>
    </w:p>
    <w:p w:rsidR="00201504" w:rsidRPr="00E40BD7" w:rsidRDefault="00201504" w:rsidP="00FC6C6A">
      <w:pPr>
        <w:spacing w:line="480" w:lineRule="auto"/>
        <w:ind w:left="720" w:hanging="720"/>
        <w:jc w:val="both"/>
        <w:rPr>
          <w:sz w:val="24"/>
          <w:szCs w:val="24"/>
        </w:rPr>
      </w:pPr>
      <w:r>
        <w:rPr>
          <w:sz w:val="24"/>
          <w:szCs w:val="24"/>
        </w:rPr>
        <w:t>A.</w:t>
      </w:r>
      <w:r>
        <w:rPr>
          <w:sz w:val="24"/>
          <w:szCs w:val="24"/>
        </w:rPr>
        <w:tab/>
        <w:t xml:space="preserve">No.  The Company will collect the same revenue requirement.  The adjustment simply changes the allocation of costs </w:t>
      </w:r>
      <w:r w:rsidR="00B26063">
        <w:rPr>
          <w:sz w:val="24"/>
          <w:szCs w:val="24"/>
        </w:rPr>
        <w:t>among</w:t>
      </w:r>
      <w:r>
        <w:rPr>
          <w:sz w:val="24"/>
          <w:szCs w:val="24"/>
        </w:rPr>
        <w:t xml:space="preserve"> classes.</w:t>
      </w:r>
    </w:p>
    <w:p w:rsidR="00763B8E" w:rsidRPr="00E40BD7" w:rsidRDefault="00E40BD7" w:rsidP="00FC6C6A">
      <w:pPr>
        <w:spacing w:line="480" w:lineRule="auto"/>
        <w:ind w:left="720" w:hanging="720"/>
        <w:jc w:val="both"/>
        <w:rPr>
          <w:b/>
          <w:sz w:val="24"/>
          <w:szCs w:val="24"/>
        </w:rPr>
      </w:pPr>
      <w:r w:rsidRPr="00E40BD7">
        <w:rPr>
          <w:b/>
          <w:sz w:val="24"/>
          <w:szCs w:val="24"/>
        </w:rPr>
        <w:t>Q.</w:t>
      </w:r>
      <w:r w:rsidRPr="00E40BD7">
        <w:rPr>
          <w:b/>
          <w:sz w:val="24"/>
          <w:szCs w:val="24"/>
        </w:rPr>
        <w:tab/>
        <w:t>What do you recommend?</w:t>
      </w:r>
    </w:p>
    <w:p w:rsidR="00E40BD7" w:rsidRDefault="00E40BD7" w:rsidP="00FC6C6A">
      <w:pPr>
        <w:spacing w:line="480" w:lineRule="auto"/>
        <w:ind w:left="720" w:hanging="720"/>
        <w:jc w:val="both"/>
        <w:rPr>
          <w:sz w:val="24"/>
          <w:szCs w:val="24"/>
        </w:rPr>
      </w:pPr>
      <w:r>
        <w:rPr>
          <w:sz w:val="24"/>
          <w:szCs w:val="24"/>
        </w:rPr>
        <w:t>A.</w:t>
      </w:r>
      <w:r>
        <w:rPr>
          <w:sz w:val="24"/>
          <w:szCs w:val="24"/>
        </w:rPr>
        <w:tab/>
        <w:t>I recommend rejection of the Company’s proposal.  I recommend that ERCOT transmission payments be allocated among classes in</w:t>
      </w:r>
      <w:r w:rsidR="00B07320">
        <w:rPr>
          <w:sz w:val="24"/>
          <w:szCs w:val="24"/>
        </w:rPr>
        <w:t xml:space="preserve"> proportion to ERCOT 4CP demand</w:t>
      </w:r>
      <w:r w:rsidR="0086525B">
        <w:rPr>
          <w:sz w:val="24"/>
          <w:szCs w:val="24"/>
        </w:rPr>
        <w:t xml:space="preserve"> at source</w:t>
      </w:r>
      <w:r w:rsidR="00B07320">
        <w:rPr>
          <w:sz w:val="24"/>
          <w:szCs w:val="24"/>
        </w:rPr>
        <w:t>, consistent with cost causation and Commission precedent.</w:t>
      </w:r>
    </w:p>
    <w:p w:rsidR="00A5181D" w:rsidRPr="007C7530" w:rsidRDefault="007C7530" w:rsidP="002059FD">
      <w:pPr>
        <w:spacing w:line="480" w:lineRule="auto"/>
        <w:ind w:left="720" w:hanging="720"/>
        <w:jc w:val="both"/>
        <w:rPr>
          <w:b/>
          <w:sz w:val="24"/>
          <w:szCs w:val="24"/>
        </w:rPr>
      </w:pPr>
      <w:r w:rsidRPr="007C7530">
        <w:rPr>
          <w:b/>
          <w:sz w:val="24"/>
          <w:szCs w:val="24"/>
        </w:rPr>
        <w:lastRenderedPageBreak/>
        <w:t>Q.</w:t>
      </w:r>
      <w:r w:rsidRPr="007C7530">
        <w:rPr>
          <w:b/>
          <w:sz w:val="24"/>
          <w:szCs w:val="24"/>
        </w:rPr>
        <w:tab/>
        <w:t xml:space="preserve">Please provide a comparison of </w:t>
      </w:r>
      <w:r w:rsidR="00C8262C">
        <w:rPr>
          <w:b/>
          <w:sz w:val="24"/>
          <w:szCs w:val="24"/>
        </w:rPr>
        <w:t>CEHE</w:t>
      </w:r>
      <w:r w:rsidRPr="007C7530">
        <w:rPr>
          <w:b/>
          <w:sz w:val="24"/>
          <w:szCs w:val="24"/>
        </w:rPr>
        <w:t xml:space="preserve">’s </w:t>
      </w:r>
      <w:r w:rsidR="00FE43F0">
        <w:rPr>
          <w:b/>
          <w:sz w:val="24"/>
          <w:szCs w:val="24"/>
        </w:rPr>
        <w:t xml:space="preserve">requested </w:t>
      </w:r>
      <w:r w:rsidRPr="007C7530">
        <w:rPr>
          <w:b/>
          <w:sz w:val="24"/>
          <w:szCs w:val="24"/>
        </w:rPr>
        <w:t>and Staff’</w:t>
      </w:r>
      <w:r w:rsidR="00FE43F0">
        <w:rPr>
          <w:b/>
          <w:sz w:val="24"/>
          <w:szCs w:val="24"/>
        </w:rPr>
        <w:t>s recommended class allocation</w:t>
      </w:r>
      <w:r w:rsidRPr="007C7530">
        <w:rPr>
          <w:b/>
          <w:sz w:val="24"/>
          <w:szCs w:val="24"/>
        </w:rPr>
        <w:t xml:space="preserve"> of ERCOT transmission payments.</w:t>
      </w:r>
    </w:p>
    <w:p w:rsidR="007C7530" w:rsidRDefault="007C7530" w:rsidP="002059FD">
      <w:pPr>
        <w:spacing w:line="480" w:lineRule="auto"/>
        <w:ind w:left="720" w:hanging="720"/>
        <w:jc w:val="both"/>
        <w:rPr>
          <w:sz w:val="24"/>
          <w:szCs w:val="24"/>
        </w:rPr>
      </w:pPr>
      <w:r>
        <w:rPr>
          <w:sz w:val="24"/>
          <w:szCs w:val="24"/>
        </w:rPr>
        <w:t>A.</w:t>
      </w:r>
      <w:r>
        <w:rPr>
          <w:sz w:val="24"/>
          <w:szCs w:val="24"/>
        </w:rPr>
        <w:tab/>
      </w:r>
      <w:r w:rsidR="00960522">
        <w:rPr>
          <w:sz w:val="24"/>
          <w:szCs w:val="24"/>
        </w:rPr>
        <w:t>As follows:</w:t>
      </w:r>
    </w:p>
    <w:p w:rsidR="00C96D15" w:rsidRDefault="00C96D15" w:rsidP="006442DC">
      <w:pPr>
        <w:ind w:left="720" w:hanging="720"/>
        <w:jc w:val="both"/>
        <w:rPr>
          <w:sz w:val="24"/>
          <w:szCs w:val="24"/>
        </w:rPr>
      </w:pPr>
      <w:r w:rsidRPr="00D35DAF">
        <w:rPr>
          <w:sz w:val="24"/>
          <w:szCs w:val="24"/>
        </w:rPr>
        <w:t xml:space="preserve">Table </w:t>
      </w:r>
      <w:r w:rsidR="00D35DAF" w:rsidRPr="00D35DAF">
        <w:rPr>
          <w:sz w:val="24"/>
          <w:szCs w:val="24"/>
        </w:rPr>
        <w:t>BTM-9</w:t>
      </w:r>
      <w:r>
        <w:rPr>
          <w:sz w:val="24"/>
          <w:szCs w:val="24"/>
        </w:rPr>
        <w:tab/>
      </w:r>
      <w:r>
        <w:rPr>
          <w:sz w:val="24"/>
          <w:szCs w:val="24"/>
        </w:rPr>
        <w:tab/>
        <w:t>Class Allocation of ERCOT transmission payments</w:t>
      </w:r>
    </w:p>
    <w:p w:rsidR="006442DC" w:rsidRDefault="00960522" w:rsidP="006442DC">
      <w:pPr>
        <w:ind w:left="720" w:hanging="720"/>
        <w:jc w:val="both"/>
        <w:rPr>
          <w:sz w:val="24"/>
          <w:szCs w:val="24"/>
        </w:rPr>
      </w:pPr>
      <w:r>
        <w:rPr>
          <w:sz w:val="24"/>
          <w:szCs w:val="24"/>
        </w:rPr>
        <w:tab/>
      </w:r>
    </w:p>
    <w:tbl>
      <w:tblPr>
        <w:tblStyle w:val="TableGrid"/>
        <w:tblW w:w="0" w:type="auto"/>
        <w:tblInd w:w="-5" w:type="dxa"/>
        <w:tblLook w:val="04A0" w:firstRow="1" w:lastRow="0" w:firstColumn="1" w:lastColumn="0" w:noHBand="0" w:noVBand="1"/>
      </w:tblPr>
      <w:tblGrid>
        <w:gridCol w:w="2700"/>
        <w:gridCol w:w="1530"/>
        <w:gridCol w:w="1530"/>
        <w:gridCol w:w="1530"/>
        <w:gridCol w:w="1345"/>
      </w:tblGrid>
      <w:tr w:rsidR="007F3BBD" w:rsidTr="00D061E4">
        <w:tc>
          <w:tcPr>
            <w:tcW w:w="2700" w:type="dxa"/>
          </w:tcPr>
          <w:p w:rsidR="007F3BBD" w:rsidRDefault="007F3BBD" w:rsidP="006442DC">
            <w:pPr>
              <w:jc w:val="both"/>
              <w:rPr>
                <w:sz w:val="24"/>
                <w:szCs w:val="24"/>
              </w:rPr>
            </w:pPr>
          </w:p>
        </w:tc>
        <w:tc>
          <w:tcPr>
            <w:tcW w:w="3060" w:type="dxa"/>
            <w:gridSpan w:val="2"/>
          </w:tcPr>
          <w:p w:rsidR="007F3BBD" w:rsidRDefault="007F3BBD" w:rsidP="007F3BBD">
            <w:pPr>
              <w:jc w:val="center"/>
              <w:rPr>
                <w:sz w:val="24"/>
                <w:szCs w:val="24"/>
              </w:rPr>
            </w:pPr>
            <w:r>
              <w:rPr>
                <w:sz w:val="24"/>
                <w:szCs w:val="24"/>
              </w:rPr>
              <w:t>Allocation %</w:t>
            </w:r>
          </w:p>
        </w:tc>
        <w:tc>
          <w:tcPr>
            <w:tcW w:w="2875" w:type="dxa"/>
            <w:gridSpan w:val="2"/>
          </w:tcPr>
          <w:p w:rsidR="007F3BBD" w:rsidRDefault="007F3BBD" w:rsidP="007F3BBD">
            <w:pPr>
              <w:jc w:val="center"/>
              <w:rPr>
                <w:sz w:val="24"/>
                <w:szCs w:val="24"/>
              </w:rPr>
            </w:pPr>
            <w:r>
              <w:rPr>
                <w:sz w:val="24"/>
                <w:szCs w:val="24"/>
              </w:rPr>
              <w:t>Thousands of dollars</w:t>
            </w:r>
          </w:p>
        </w:tc>
      </w:tr>
      <w:tr w:rsidR="007F3BBD" w:rsidTr="00D061E4">
        <w:tc>
          <w:tcPr>
            <w:tcW w:w="2700" w:type="dxa"/>
          </w:tcPr>
          <w:p w:rsidR="007F3BBD" w:rsidRDefault="007F3BBD" w:rsidP="007F3BBD">
            <w:pPr>
              <w:jc w:val="both"/>
              <w:rPr>
                <w:sz w:val="24"/>
                <w:szCs w:val="24"/>
              </w:rPr>
            </w:pPr>
            <w:r>
              <w:rPr>
                <w:sz w:val="24"/>
                <w:szCs w:val="24"/>
              </w:rPr>
              <w:t>Class</w:t>
            </w:r>
          </w:p>
        </w:tc>
        <w:tc>
          <w:tcPr>
            <w:tcW w:w="1530" w:type="dxa"/>
          </w:tcPr>
          <w:p w:rsidR="007F3BBD" w:rsidRDefault="00C8262C" w:rsidP="007F3BBD">
            <w:pPr>
              <w:jc w:val="center"/>
              <w:rPr>
                <w:sz w:val="24"/>
                <w:szCs w:val="24"/>
              </w:rPr>
            </w:pPr>
            <w:r>
              <w:rPr>
                <w:sz w:val="24"/>
                <w:szCs w:val="24"/>
              </w:rPr>
              <w:t>CEHE</w:t>
            </w:r>
          </w:p>
        </w:tc>
        <w:tc>
          <w:tcPr>
            <w:tcW w:w="1530" w:type="dxa"/>
          </w:tcPr>
          <w:p w:rsidR="007F3BBD" w:rsidRDefault="007F3BBD" w:rsidP="007F3BBD">
            <w:pPr>
              <w:jc w:val="center"/>
              <w:rPr>
                <w:sz w:val="24"/>
                <w:szCs w:val="24"/>
              </w:rPr>
            </w:pPr>
            <w:r>
              <w:rPr>
                <w:sz w:val="24"/>
                <w:szCs w:val="24"/>
              </w:rPr>
              <w:t>Staff</w:t>
            </w:r>
          </w:p>
        </w:tc>
        <w:tc>
          <w:tcPr>
            <w:tcW w:w="1530" w:type="dxa"/>
          </w:tcPr>
          <w:p w:rsidR="007F3BBD" w:rsidRDefault="00C8262C" w:rsidP="007F3BBD">
            <w:pPr>
              <w:jc w:val="center"/>
              <w:rPr>
                <w:sz w:val="24"/>
                <w:szCs w:val="24"/>
              </w:rPr>
            </w:pPr>
            <w:r>
              <w:rPr>
                <w:sz w:val="24"/>
                <w:szCs w:val="24"/>
              </w:rPr>
              <w:t>CEHE</w:t>
            </w:r>
          </w:p>
        </w:tc>
        <w:tc>
          <w:tcPr>
            <w:tcW w:w="1345" w:type="dxa"/>
          </w:tcPr>
          <w:p w:rsidR="007F3BBD" w:rsidRDefault="007F3BBD" w:rsidP="007F3BBD">
            <w:pPr>
              <w:jc w:val="center"/>
              <w:rPr>
                <w:sz w:val="24"/>
                <w:szCs w:val="24"/>
              </w:rPr>
            </w:pPr>
            <w:r>
              <w:rPr>
                <w:sz w:val="24"/>
                <w:szCs w:val="24"/>
              </w:rPr>
              <w:t>Staff</w:t>
            </w:r>
          </w:p>
        </w:tc>
      </w:tr>
      <w:tr w:rsidR="007F3BBD" w:rsidTr="00D061E4">
        <w:tc>
          <w:tcPr>
            <w:tcW w:w="2700" w:type="dxa"/>
          </w:tcPr>
          <w:p w:rsidR="007F3BBD" w:rsidRDefault="007F3BBD" w:rsidP="007F3BBD">
            <w:pPr>
              <w:jc w:val="both"/>
              <w:rPr>
                <w:sz w:val="24"/>
                <w:szCs w:val="24"/>
              </w:rPr>
            </w:pPr>
          </w:p>
        </w:tc>
        <w:tc>
          <w:tcPr>
            <w:tcW w:w="1530" w:type="dxa"/>
          </w:tcPr>
          <w:p w:rsidR="007F3BBD" w:rsidRDefault="007F3BBD" w:rsidP="007F3BBD">
            <w:pPr>
              <w:jc w:val="both"/>
              <w:rPr>
                <w:sz w:val="24"/>
                <w:szCs w:val="24"/>
              </w:rPr>
            </w:pPr>
          </w:p>
        </w:tc>
        <w:tc>
          <w:tcPr>
            <w:tcW w:w="1530" w:type="dxa"/>
          </w:tcPr>
          <w:p w:rsidR="007F3BBD" w:rsidRDefault="007F3BBD" w:rsidP="007F3BBD">
            <w:pPr>
              <w:jc w:val="both"/>
              <w:rPr>
                <w:sz w:val="24"/>
                <w:szCs w:val="24"/>
              </w:rPr>
            </w:pPr>
          </w:p>
        </w:tc>
        <w:tc>
          <w:tcPr>
            <w:tcW w:w="1530" w:type="dxa"/>
          </w:tcPr>
          <w:p w:rsidR="007F3BBD" w:rsidRDefault="007F3BBD" w:rsidP="007F3BBD">
            <w:pPr>
              <w:jc w:val="both"/>
              <w:rPr>
                <w:sz w:val="24"/>
                <w:szCs w:val="24"/>
              </w:rPr>
            </w:pPr>
          </w:p>
        </w:tc>
        <w:tc>
          <w:tcPr>
            <w:tcW w:w="1345" w:type="dxa"/>
          </w:tcPr>
          <w:p w:rsidR="007F3BBD" w:rsidRDefault="007F3BBD" w:rsidP="007F3BBD">
            <w:pPr>
              <w:jc w:val="both"/>
              <w:rPr>
                <w:sz w:val="24"/>
                <w:szCs w:val="24"/>
              </w:rPr>
            </w:pPr>
          </w:p>
        </w:tc>
      </w:tr>
      <w:tr w:rsidR="007F3BBD" w:rsidTr="00D061E4">
        <w:tc>
          <w:tcPr>
            <w:tcW w:w="2700" w:type="dxa"/>
          </w:tcPr>
          <w:p w:rsidR="007F3BBD" w:rsidRDefault="007F3BBD" w:rsidP="007F3BBD">
            <w:pPr>
              <w:jc w:val="both"/>
              <w:rPr>
                <w:sz w:val="24"/>
                <w:szCs w:val="24"/>
              </w:rPr>
            </w:pPr>
            <w:r>
              <w:rPr>
                <w:sz w:val="24"/>
                <w:szCs w:val="24"/>
              </w:rPr>
              <w:t>Residential</w:t>
            </w:r>
          </w:p>
        </w:tc>
        <w:tc>
          <w:tcPr>
            <w:tcW w:w="1530" w:type="dxa"/>
          </w:tcPr>
          <w:p w:rsidR="007F3BBD" w:rsidRDefault="008525EC" w:rsidP="001A5FD7">
            <w:pPr>
              <w:jc w:val="right"/>
              <w:rPr>
                <w:sz w:val="24"/>
                <w:szCs w:val="24"/>
              </w:rPr>
            </w:pPr>
            <w:r>
              <w:rPr>
                <w:sz w:val="24"/>
                <w:szCs w:val="24"/>
              </w:rPr>
              <w:t>0.4665</w:t>
            </w:r>
          </w:p>
        </w:tc>
        <w:tc>
          <w:tcPr>
            <w:tcW w:w="1530" w:type="dxa"/>
          </w:tcPr>
          <w:p w:rsidR="007F3BBD" w:rsidRDefault="008525EC" w:rsidP="00681887">
            <w:pPr>
              <w:jc w:val="right"/>
              <w:rPr>
                <w:sz w:val="24"/>
                <w:szCs w:val="24"/>
              </w:rPr>
            </w:pPr>
            <w:r>
              <w:rPr>
                <w:sz w:val="24"/>
                <w:szCs w:val="24"/>
              </w:rPr>
              <w:t>0.47</w:t>
            </w:r>
            <w:r w:rsidR="00681887">
              <w:rPr>
                <w:sz w:val="24"/>
                <w:szCs w:val="24"/>
              </w:rPr>
              <w:t>61</w:t>
            </w:r>
          </w:p>
        </w:tc>
        <w:tc>
          <w:tcPr>
            <w:tcW w:w="1530" w:type="dxa"/>
          </w:tcPr>
          <w:p w:rsidR="007F3BBD" w:rsidRDefault="00AC2609" w:rsidP="001A5FD7">
            <w:pPr>
              <w:jc w:val="right"/>
              <w:rPr>
                <w:sz w:val="24"/>
                <w:szCs w:val="24"/>
              </w:rPr>
            </w:pPr>
            <w:r>
              <w:rPr>
                <w:sz w:val="24"/>
                <w:szCs w:val="24"/>
              </w:rPr>
              <w:t>439,639</w:t>
            </w:r>
          </w:p>
        </w:tc>
        <w:tc>
          <w:tcPr>
            <w:tcW w:w="1345" w:type="dxa"/>
          </w:tcPr>
          <w:p w:rsidR="007F3BBD" w:rsidRDefault="00C2316F" w:rsidP="001A5FD7">
            <w:pPr>
              <w:jc w:val="right"/>
              <w:rPr>
                <w:sz w:val="24"/>
                <w:szCs w:val="24"/>
              </w:rPr>
            </w:pPr>
            <w:r>
              <w:rPr>
                <w:sz w:val="24"/>
                <w:szCs w:val="24"/>
              </w:rPr>
              <w:t>441,675</w:t>
            </w:r>
          </w:p>
        </w:tc>
      </w:tr>
      <w:tr w:rsidR="007F3BBD" w:rsidTr="00D061E4">
        <w:tc>
          <w:tcPr>
            <w:tcW w:w="2700" w:type="dxa"/>
          </w:tcPr>
          <w:p w:rsidR="007F3BBD" w:rsidRDefault="007F3BBD" w:rsidP="007F3BBD">
            <w:pPr>
              <w:jc w:val="both"/>
              <w:rPr>
                <w:sz w:val="24"/>
                <w:szCs w:val="24"/>
              </w:rPr>
            </w:pPr>
            <w:r>
              <w:rPr>
                <w:sz w:val="24"/>
                <w:szCs w:val="24"/>
              </w:rPr>
              <w:t>Secondary Small</w:t>
            </w:r>
          </w:p>
        </w:tc>
        <w:tc>
          <w:tcPr>
            <w:tcW w:w="1530" w:type="dxa"/>
          </w:tcPr>
          <w:p w:rsidR="007F3BBD" w:rsidRDefault="008525EC" w:rsidP="001A5FD7">
            <w:pPr>
              <w:jc w:val="right"/>
              <w:rPr>
                <w:sz w:val="24"/>
                <w:szCs w:val="24"/>
              </w:rPr>
            </w:pPr>
            <w:r>
              <w:rPr>
                <w:sz w:val="24"/>
                <w:szCs w:val="24"/>
              </w:rPr>
              <w:t>.0088</w:t>
            </w:r>
          </w:p>
        </w:tc>
        <w:tc>
          <w:tcPr>
            <w:tcW w:w="1530" w:type="dxa"/>
          </w:tcPr>
          <w:p w:rsidR="007F3BBD" w:rsidRDefault="008525EC" w:rsidP="001A5FD7">
            <w:pPr>
              <w:jc w:val="right"/>
              <w:rPr>
                <w:sz w:val="24"/>
                <w:szCs w:val="24"/>
              </w:rPr>
            </w:pPr>
            <w:r>
              <w:rPr>
                <w:sz w:val="24"/>
                <w:szCs w:val="24"/>
              </w:rPr>
              <w:t>0.0083</w:t>
            </w:r>
          </w:p>
        </w:tc>
        <w:tc>
          <w:tcPr>
            <w:tcW w:w="1530" w:type="dxa"/>
          </w:tcPr>
          <w:p w:rsidR="007F3BBD" w:rsidRDefault="00AC2609" w:rsidP="001A5FD7">
            <w:pPr>
              <w:jc w:val="right"/>
              <w:rPr>
                <w:sz w:val="24"/>
                <w:szCs w:val="24"/>
              </w:rPr>
            </w:pPr>
            <w:r>
              <w:rPr>
                <w:sz w:val="24"/>
                <w:szCs w:val="24"/>
              </w:rPr>
              <w:t>8.277</w:t>
            </w:r>
          </w:p>
        </w:tc>
        <w:tc>
          <w:tcPr>
            <w:tcW w:w="1345" w:type="dxa"/>
          </w:tcPr>
          <w:p w:rsidR="007F3BBD" w:rsidRDefault="00C2316F" w:rsidP="001A5FD7">
            <w:pPr>
              <w:jc w:val="right"/>
              <w:rPr>
                <w:sz w:val="24"/>
                <w:szCs w:val="24"/>
              </w:rPr>
            </w:pPr>
            <w:r>
              <w:rPr>
                <w:sz w:val="24"/>
                <w:szCs w:val="24"/>
              </w:rPr>
              <w:t>7,745</w:t>
            </w:r>
          </w:p>
        </w:tc>
      </w:tr>
      <w:tr w:rsidR="007F3BBD" w:rsidTr="00D061E4">
        <w:tc>
          <w:tcPr>
            <w:tcW w:w="2700" w:type="dxa"/>
          </w:tcPr>
          <w:p w:rsidR="007F3BBD" w:rsidRDefault="007F3BBD" w:rsidP="007F3BBD">
            <w:pPr>
              <w:jc w:val="both"/>
              <w:rPr>
                <w:sz w:val="24"/>
                <w:szCs w:val="24"/>
              </w:rPr>
            </w:pPr>
            <w:r>
              <w:rPr>
                <w:sz w:val="24"/>
                <w:szCs w:val="24"/>
              </w:rPr>
              <w:t>Secondary Large</w:t>
            </w:r>
          </w:p>
        </w:tc>
        <w:tc>
          <w:tcPr>
            <w:tcW w:w="1530" w:type="dxa"/>
          </w:tcPr>
          <w:p w:rsidR="007F3BBD" w:rsidRDefault="008525EC" w:rsidP="001A5FD7">
            <w:pPr>
              <w:jc w:val="right"/>
              <w:rPr>
                <w:sz w:val="24"/>
                <w:szCs w:val="24"/>
              </w:rPr>
            </w:pPr>
            <w:r>
              <w:rPr>
                <w:sz w:val="24"/>
                <w:szCs w:val="24"/>
              </w:rPr>
              <w:t>0.3407</w:t>
            </w:r>
          </w:p>
        </w:tc>
        <w:tc>
          <w:tcPr>
            <w:tcW w:w="1530" w:type="dxa"/>
          </w:tcPr>
          <w:p w:rsidR="007F3BBD" w:rsidRDefault="00681887" w:rsidP="001A5FD7">
            <w:pPr>
              <w:jc w:val="right"/>
              <w:rPr>
                <w:sz w:val="24"/>
                <w:szCs w:val="24"/>
              </w:rPr>
            </w:pPr>
            <w:r>
              <w:rPr>
                <w:sz w:val="24"/>
                <w:szCs w:val="24"/>
              </w:rPr>
              <w:t>0.3469</w:t>
            </w:r>
          </w:p>
        </w:tc>
        <w:tc>
          <w:tcPr>
            <w:tcW w:w="1530" w:type="dxa"/>
          </w:tcPr>
          <w:p w:rsidR="007F3BBD" w:rsidRDefault="00AC2609" w:rsidP="001A5FD7">
            <w:pPr>
              <w:jc w:val="right"/>
              <w:rPr>
                <w:sz w:val="24"/>
                <w:szCs w:val="24"/>
              </w:rPr>
            </w:pPr>
            <w:r>
              <w:rPr>
                <w:sz w:val="24"/>
                <w:szCs w:val="24"/>
              </w:rPr>
              <w:t>321,039</w:t>
            </w:r>
          </w:p>
        </w:tc>
        <w:tc>
          <w:tcPr>
            <w:tcW w:w="1345" w:type="dxa"/>
          </w:tcPr>
          <w:p w:rsidR="007F3BBD" w:rsidRDefault="00C2316F" w:rsidP="001A5FD7">
            <w:pPr>
              <w:jc w:val="right"/>
              <w:rPr>
                <w:sz w:val="24"/>
                <w:szCs w:val="24"/>
              </w:rPr>
            </w:pPr>
            <w:r>
              <w:rPr>
                <w:sz w:val="24"/>
                <w:szCs w:val="24"/>
              </w:rPr>
              <w:t>321,784</w:t>
            </w:r>
          </w:p>
        </w:tc>
      </w:tr>
      <w:tr w:rsidR="007F3BBD" w:rsidTr="00D061E4">
        <w:tc>
          <w:tcPr>
            <w:tcW w:w="2700" w:type="dxa"/>
          </w:tcPr>
          <w:p w:rsidR="007F3BBD" w:rsidRDefault="007F3BBD" w:rsidP="00D061E4">
            <w:pPr>
              <w:jc w:val="right"/>
              <w:rPr>
                <w:sz w:val="24"/>
                <w:szCs w:val="24"/>
              </w:rPr>
            </w:pPr>
            <w:r>
              <w:rPr>
                <w:sz w:val="24"/>
                <w:szCs w:val="24"/>
              </w:rPr>
              <w:t>IDR</w:t>
            </w:r>
          </w:p>
        </w:tc>
        <w:tc>
          <w:tcPr>
            <w:tcW w:w="1530" w:type="dxa"/>
          </w:tcPr>
          <w:p w:rsidR="007F3BBD" w:rsidRDefault="00B31B04" w:rsidP="001A5FD7">
            <w:pPr>
              <w:jc w:val="right"/>
              <w:rPr>
                <w:sz w:val="24"/>
                <w:szCs w:val="24"/>
              </w:rPr>
            </w:pPr>
            <w:r>
              <w:rPr>
                <w:sz w:val="24"/>
                <w:szCs w:val="24"/>
              </w:rPr>
              <w:t>na</w:t>
            </w:r>
          </w:p>
        </w:tc>
        <w:tc>
          <w:tcPr>
            <w:tcW w:w="1530" w:type="dxa"/>
          </w:tcPr>
          <w:p w:rsidR="007F3BBD" w:rsidRDefault="008525EC" w:rsidP="001A5FD7">
            <w:pPr>
              <w:jc w:val="right"/>
              <w:rPr>
                <w:sz w:val="24"/>
                <w:szCs w:val="24"/>
              </w:rPr>
            </w:pPr>
            <w:r>
              <w:rPr>
                <w:sz w:val="24"/>
                <w:szCs w:val="24"/>
              </w:rPr>
              <w:t>0.136</w:t>
            </w:r>
            <w:r w:rsidR="00681887">
              <w:rPr>
                <w:sz w:val="24"/>
                <w:szCs w:val="24"/>
              </w:rPr>
              <w:t>9</w:t>
            </w:r>
          </w:p>
        </w:tc>
        <w:tc>
          <w:tcPr>
            <w:tcW w:w="1530" w:type="dxa"/>
          </w:tcPr>
          <w:p w:rsidR="007F3BBD" w:rsidRDefault="00AC2609" w:rsidP="001A5FD7">
            <w:pPr>
              <w:jc w:val="right"/>
              <w:rPr>
                <w:sz w:val="24"/>
                <w:szCs w:val="24"/>
              </w:rPr>
            </w:pPr>
            <w:r>
              <w:rPr>
                <w:sz w:val="24"/>
                <w:szCs w:val="24"/>
              </w:rPr>
              <w:t>126,697</w:t>
            </w:r>
          </w:p>
        </w:tc>
        <w:tc>
          <w:tcPr>
            <w:tcW w:w="1345" w:type="dxa"/>
          </w:tcPr>
          <w:p w:rsidR="007F3BBD" w:rsidRDefault="00C2316F" w:rsidP="001A5FD7">
            <w:pPr>
              <w:jc w:val="right"/>
              <w:rPr>
                <w:sz w:val="24"/>
                <w:szCs w:val="24"/>
              </w:rPr>
            </w:pPr>
            <w:r>
              <w:rPr>
                <w:sz w:val="24"/>
                <w:szCs w:val="24"/>
              </w:rPr>
              <w:t>127,000</w:t>
            </w:r>
          </w:p>
        </w:tc>
      </w:tr>
      <w:tr w:rsidR="007F3BBD" w:rsidTr="00D061E4">
        <w:tc>
          <w:tcPr>
            <w:tcW w:w="2700" w:type="dxa"/>
          </w:tcPr>
          <w:p w:rsidR="007F3BBD" w:rsidRDefault="007F3BBD" w:rsidP="00D061E4">
            <w:pPr>
              <w:jc w:val="right"/>
              <w:rPr>
                <w:sz w:val="24"/>
                <w:szCs w:val="24"/>
              </w:rPr>
            </w:pPr>
            <w:r>
              <w:rPr>
                <w:sz w:val="24"/>
                <w:szCs w:val="24"/>
              </w:rPr>
              <w:t>Non-IDR</w:t>
            </w:r>
          </w:p>
        </w:tc>
        <w:tc>
          <w:tcPr>
            <w:tcW w:w="1530" w:type="dxa"/>
          </w:tcPr>
          <w:p w:rsidR="007F3BBD" w:rsidRDefault="00B31B04" w:rsidP="001A5FD7">
            <w:pPr>
              <w:jc w:val="right"/>
              <w:rPr>
                <w:sz w:val="24"/>
                <w:szCs w:val="24"/>
              </w:rPr>
            </w:pPr>
            <w:r>
              <w:rPr>
                <w:sz w:val="24"/>
                <w:szCs w:val="24"/>
              </w:rPr>
              <w:t>na</w:t>
            </w:r>
          </w:p>
        </w:tc>
        <w:tc>
          <w:tcPr>
            <w:tcW w:w="1530" w:type="dxa"/>
          </w:tcPr>
          <w:p w:rsidR="007F3BBD" w:rsidRDefault="00681887" w:rsidP="001A5FD7">
            <w:pPr>
              <w:jc w:val="right"/>
              <w:rPr>
                <w:sz w:val="24"/>
                <w:szCs w:val="24"/>
              </w:rPr>
            </w:pPr>
            <w:r>
              <w:rPr>
                <w:sz w:val="24"/>
                <w:szCs w:val="24"/>
              </w:rPr>
              <w:t>0.2099</w:t>
            </w:r>
          </w:p>
        </w:tc>
        <w:tc>
          <w:tcPr>
            <w:tcW w:w="1530" w:type="dxa"/>
          </w:tcPr>
          <w:p w:rsidR="007F3BBD" w:rsidRDefault="00AC2609" w:rsidP="001A5FD7">
            <w:pPr>
              <w:jc w:val="right"/>
              <w:rPr>
                <w:sz w:val="24"/>
                <w:szCs w:val="24"/>
              </w:rPr>
            </w:pPr>
            <w:r>
              <w:rPr>
                <w:sz w:val="24"/>
                <w:szCs w:val="24"/>
              </w:rPr>
              <w:t>194,342</w:t>
            </w:r>
          </w:p>
        </w:tc>
        <w:tc>
          <w:tcPr>
            <w:tcW w:w="1345" w:type="dxa"/>
          </w:tcPr>
          <w:p w:rsidR="007F3BBD" w:rsidRDefault="00C2316F" w:rsidP="001A5FD7">
            <w:pPr>
              <w:jc w:val="right"/>
              <w:rPr>
                <w:sz w:val="24"/>
                <w:szCs w:val="24"/>
              </w:rPr>
            </w:pPr>
            <w:r>
              <w:rPr>
                <w:sz w:val="24"/>
                <w:szCs w:val="24"/>
              </w:rPr>
              <w:t>194,784</w:t>
            </w:r>
          </w:p>
        </w:tc>
      </w:tr>
      <w:tr w:rsidR="007F3BBD" w:rsidTr="00D061E4">
        <w:tc>
          <w:tcPr>
            <w:tcW w:w="2700" w:type="dxa"/>
          </w:tcPr>
          <w:p w:rsidR="007F3BBD" w:rsidRDefault="007F3BBD" w:rsidP="007F3BBD">
            <w:pPr>
              <w:jc w:val="both"/>
              <w:rPr>
                <w:sz w:val="24"/>
                <w:szCs w:val="24"/>
              </w:rPr>
            </w:pPr>
            <w:r>
              <w:rPr>
                <w:sz w:val="24"/>
                <w:szCs w:val="24"/>
              </w:rPr>
              <w:t>Primary</w:t>
            </w:r>
          </w:p>
        </w:tc>
        <w:tc>
          <w:tcPr>
            <w:tcW w:w="1530" w:type="dxa"/>
          </w:tcPr>
          <w:p w:rsidR="007F3BBD" w:rsidRDefault="008525EC" w:rsidP="001A5FD7">
            <w:pPr>
              <w:jc w:val="right"/>
              <w:rPr>
                <w:sz w:val="24"/>
                <w:szCs w:val="24"/>
              </w:rPr>
            </w:pPr>
            <w:r>
              <w:rPr>
                <w:sz w:val="24"/>
                <w:szCs w:val="24"/>
              </w:rPr>
              <w:t>0.0348</w:t>
            </w:r>
          </w:p>
        </w:tc>
        <w:tc>
          <w:tcPr>
            <w:tcW w:w="1530" w:type="dxa"/>
          </w:tcPr>
          <w:p w:rsidR="007F3BBD" w:rsidRDefault="008525EC" w:rsidP="001A5FD7">
            <w:pPr>
              <w:jc w:val="right"/>
              <w:rPr>
                <w:sz w:val="24"/>
                <w:szCs w:val="24"/>
              </w:rPr>
            </w:pPr>
            <w:r>
              <w:rPr>
                <w:sz w:val="24"/>
                <w:szCs w:val="24"/>
              </w:rPr>
              <w:t>0.034</w:t>
            </w:r>
            <w:r w:rsidR="00681887">
              <w:rPr>
                <w:sz w:val="24"/>
                <w:szCs w:val="24"/>
              </w:rPr>
              <w:t>1</w:t>
            </w:r>
          </w:p>
        </w:tc>
        <w:tc>
          <w:tcPr>
            <w:tcW w:w="1530" w:type="dxa"/>
          </w:tcPr>
          <w:p w:rsidR="007F3BBD" w:rsidRDefault="00AC2609" w:rsidP="001A5FD7">
            <w:pPr>
              <w:jc w:val="right"/>
              <w:rPr>
                <w:sz w:val="24"/>
                <w:szCs w:val="24"/>
              </w:rPr>
            </w:pPr>
            <w:r>
              <w:rPr>
                <w:sz w:val="24"/>
                <w:szCs w:val="24"/>
              </w:rPr>
              <w:t>32,837</w:t>
            </w:r>
          </w:p>
        </w:tc>
        <w:tc>
          <w:tcPr>
            <w:tcW w:w="1345" w:type="dxa"/>
          </w:tcPr>
          <w:p w:rsidR="007F3BBD" w:rsidRDefault="00C2316F" w:rsidP="001A5FD7">
            <w:pPr>
              <w:jc w:val="right"/>
              <w:rPr>
                <w:sz w:val="24"/>
                <w:szCs w:val="24"/>
              </w:rPr>
            </w:pPr>
            <w:r>
              <w:rPr>
                <w:sz w:val="24"/>
                <w:szCs w:val="24"/>
              </w:rPr>
              <w:t>31,630</w:t>
            </w:r>
          </w:p>
        </w:tc>
      </w:tr>
      <w:tr w:rsidR="007F3BBD" w:rsidTr="00D061E4">
        <w:tc>
          <w:tcPr>
            <w:tcW w:w="2700" w:type="dxa"/>
          </w:tcPr>
          <w:p w:rsidR="007F3BBD" w:rsidRDefault="007F3BBD" w:rsidP="00D061E4">
            <w:pPr>
              <w:jc w:val="right"/>
              <w:rPr>
                <w:sz w:val="24"/>
                <w:szCs w:val="24"/>
              </w:rPr>
            </w:pPr>
            <w:r>
              <w:rPr>
                <w:sz w:val="24"/>
                <w:szCs w:val="24"/>
              </w:rPr>
              <w:t>IDR</w:t>
            </w:r>
          </w:p>
        </w:tc>
        <w:tc>
          <w:tcPr>
            <w:tcW w:w="1530" w:type="dxa"/>
          </w:tcPr>
          <w:p w:rsidR="007F3BBD" w:rsidRDefault="008525EC" w:rsidP="001A5FD7">
            <w:pPr>
              <w:jc w:val="right"/>
              <w:rPr>
                <w:sz w:val="24"/>
                <w:szCs w:val="24"/>
              </w:rPr>
            </w:pPr>
            <w:r>
              <w:rPr>
                <w:sz w:val="24"/>
                <w:szCs w:val="24"/>
              </w:rPr>
              <w:t>n</w:t>
            </w:r>
            <w:r w:rsidR="00B31B04">
              <w:rPr>
                <w:sz w:val="24"/>
                <w:szCs w:val="24"/>
              </w:rPr>
              <w:t>a</w:t>
            </w:r>
          </w:p>
        </w:tc>
        <w:tc>
          <w:tcPr>
            <w:tcW w:w="1530" w:type="dxa"/>
          </w:tcPr>
          <w:p w:rsidR="007F3BBD" w:rsidRDefault="008525EC" w:rsidP="001A5FD7">
            <w:pPr>
              <w:jc w:val="right"/>
              <w:rPr>
                <w:sz w:val="24"/>
                <w:szCs w:val="24"/>
              </w:rPr>
            </w:pPr>
            <w:r>
              <w:rPr>
                <w:sz w:val="24"/>
                <w:szCs w:val="24"/>
              </w:rPr>
              <w:t>0.031</w:t>
            </w:r>
            <w:r w:rsidR="00681887">
              <w:rPr>
                <w:sz w:val="24"/>
                <w:szCs w:val="24"/>
              </w:rPr>
              <w:t>0</w:t>
            </w:r>
          </w:p>
        </w:tc>
        <w:tc>
          <w:tcPr>
            <w:tcW w:w="1530" w:type="dxa"/>
          </w:tcPr>
          <w:p w:rsidR="007F3BBD" w:rsidRDefault="00AC2609" w:rsidP="001A5FD7">
            <w:pPr>
              <w:jc w:val="right"/>
              <w:rPr>
                <w:sz w:val="24"/>
                <w:szCs w:val="24"/>
              </w:rPr>
            </w:pPr>
            <w:r>
              <w:rPr>
                <w:sz w:val="24"/>
                <w:szCs w:val="24"/>
              </w:rPr>
              <w:t>30,003</w:t>
            </w:r>
          </w:p>
        </w:tc>
        <w:tc>
          <w:tcPr>
            <w:tcW w:w="1345" w:type="dxa"/>
          </w:tcPr>
          <w:p w:rsidR="007F3BBD" w:rsidRDefault="00C2316F" w:rsidP="001A5FD7">
            <w:pPr>
              <w:jc w:val="right"/>
              <w:rPr>
                <w:sz w:val="24"/>
                <w:szCs w:val="24"/>
              </w:rPr>
            </w:pPr>
            <w:r>
              <w:rPr>
                <w:sz w:val="24"/>
                <w:szCs w:val="24"/>
              </w:rPr>
              <w:t>28,780</w:t>
            </w:r>
          </w:p>
        </w:tc>
      </w:tr>
      <w:tr w:rsidR="007F3BBD" w:rsidTr="00D061E4">
        <w:tc>
          <w:tcPr>
            <w:tcW w:w="2700" w:type="dxa"/>
          </w:tcPr>
          <w:p w:rsidR="007F3BBD" w:rsidRDefault="007F3BBD" w:rsidP="00D061E4">
            <w:pPr>
              <w:jc w:val="right"/>
              <w:rPr>
                <w:sz w:val="24"/>
                <w:szCs w:val="24"/>
              </w:rPr>
            </w:pPr>
            <w:r>
              <w:rPr>
                <w:sz w:val="24"/>
                <w:szCs w:val="24"/>
              </w:rPr>
              <w:t>Non-IDR</w:t>
            </w:r>
          </w:p>
        </w:tc>
        <w:tc>
          <w:tcPr>
            <w:tcW w:w="1530" w:type="dxa"/>
          </w:tcPr>
          <w:p w:rsidR="007F3BBD" w:rsidRDefault="00B31B04" w:rsidP="001A5FD7">
            <w:pPr>
              <w:jc w:val="right"/>
              <w:rPr>
                <w:sz w:val="24"/>
                <w:szCs w:val="24"/>
              </w:rPr>
            </w:pPr>
            <w:r>
              <w:rPr>
                <w:sz w:val="24"/>
                <w:szCs w:val="24"/>
              </w:rPr>
              <w:t>na</w:t>
            </w:r>
          </w:p>
        </w:tc>
        <w:tc>
          <w:tcPr>
            <w:tcW w:w="1530" w:type="dxa"/>
          </w:tcPr>
          <w:p w:rsidR="007F3BBD" w:rsidRDefault="008525EC" w:rsidP="001A5FD7">
            <w:pPr>
              <w:jc w:val="right"/>
              <w:rPr>
                <w:sz w:val="24"/>
                <w:szCs w:val="24"/>
              </w:rPr>
            </w:pPr>
            <w:r>
              <w:rPr>
                <w:sz w:val="24"/>
                <w:szCs w:val="24"/>
              </w:rPr>
              <w:t>0.003</w:t>
            </w:r>
            <w:r w:rsidR="00681887">
              <w:rPr>
                <w:sz w:val="24"/>
                <w:szCs w:val="24"/>
              </w:rPr>
              <w:t>1</w:t>
            </w:r>
          </w:p>
        </w:tc>
        <w:tc>
          <w:tcPr>
            <w:tcW w:w="1530" w:type="dxa"/>
          </w:tcPr>
          <w:p w:rsidR="007F3BBD" w:rsidRDefault="00AC2609" w:rsidP="001A5FD7">
            <w:pPr>
              <w:jc w:val="right"/>
              <w:rPr>
                <w:sz w:val="24"/>
                <w:szCs w:val="24"/>
              </w:rPr>
            </w:pPr>
            <w:r>
              <w:rPr>
                <w:sz w:val="24"/>
                <w:szCs w:val="24"/>
              </w:rPr>
              <w:t>2,833</w:t>
            </w:r>
          </w:p>
        </w:tc>
        <w:tc>
          <w:tcPr>
            <w:tcW w:w="1345" w:type="dxa"/>
          </w:tcPr>
          <w:p w:rsidR="007F3BBD" w:rsidRDefault="00C2316F" w:rsidP="001A5FD7">
            <w:pPr>
              <w:jc w:val="right"/>
              <w:rPr>
                <w:sz w:val="24"/>
                <w:szCs w:val="24"/>
              </w:rPr>
            </w:pPr>
            <w:r>
              <w:rPr>
                <w:sz w:val="24"/>
                <w:szCs w:val="24"/>
              </w:rPr>
              <w:t>2,850</w:t>
            </w:r>
          </w:p>
        </w:tc>
      </w:tr>
      <w:tr w:rsidR="007F3BBD" w:rsidTr="00D061E4">
        <w:tc>
          <w:tcPr>
            <w:tcW w:w="2700" w:type="dxa"/>
          </w:tcPr>
          <w:p w:rsidR="007F3BBD" w:rsidRDefault="007F3BBD" w:rsidP="007F3BBD">
            <w:pPr>
              <w:jc w:val="both"/>
              <w:rPr>
                <w:sz w:val="24"/>
                <w:szCs w:val="24"/>
              </w:rPr>
            </w:pPr>
            <w:r>
              <w:rPr>
                <w:sz w:val="24"/>
                <w:szCs w:val="24"/>
              </w:rPr>
              <w:t>Transmission</w:t>
            </w:r>
          </w:p>
        </w:tc>
        <w:tc>
          <w:tcPr>
            <w:tcW w:w="1530" w:type="dxa"/>
          </w:tcPr>
          <w:p w:rsidR="007F3BBD" w:rsidRDefault="008525EC" w:rsidP="001A5FD7">
            <w:pPr>
              <w:jc w:val="right"/>
              <w:rPr>
                <w:sz w:val="24"/>
                <w:szCs w:val="24"/>
              </w:rPr>
            </w:pPr>
            <w:r>
              <w:rPr>
                <w:sz w:val="24"/>
                <w:szCs w:val="24"/>
              </w:rPr>
              <w:t>0.1492</w:t>
            </w:r>
          </w:p>
        </w:tc>
        <w:tc>
          <w:tcPr>
            <w:tcW w:w="1530" w:type="dxa"/>
          </w:tcPr>
          <w:p w:rsidR="007F3BBD" w:rsidRDefault="00681887" w:rsidP="001A5FD7">
            <w:pPr>
              <w:jc w:val="right"/>
              <w:rPr>
                <w:sz w:val="24"/>
                <w:szCs w:val="24"/>
              </w:rPr>
            </w:pPr>
            <w:r>
              <w:rPr>
                <w:sz w:val="24"/>
                <w:szCs w:val="24"/>
              </w:rPr>
              <w:t>0.1346</w:t>
            </w:r>
          </w:p>
        </w:tc>
        <w:tc>
          <w:tcPr>
            <w:tcW w:w="1530" w:type="dxa"/>
          </w:tcPr>
          <w:p w:rsidR="007F3BBD" w:rsidRDefault="00AC2609" w:rsidP="001A5FD7">
            <w:pPr>
              <w:jc w:val="right"/>
              <w:rPr>
                <w:sz w:val="24"/>
                <w:szCs w:val="24"/>
              </w:rPr>
            </w:pPr>
            <w:r>
              <w:rPr>
                <w:sz w:val="24"/>
                <w:szCs w:val="24"/>
              </w:rPr>
              <w:t>140,611</w:t>
            </w:r>
          </w:p>
        </w:tc>
        <w:tc>
          <w:tcPr>
            <w:tcW w:w="1345" w:type="dxa"/>
          </w:tcPr>
          <w:p w:rsidR="007F3BBD" w:rsidRDefault="00C2316F" w:rsidP="001A5FD7">
            <w:pPr>
              <w:jc w:val="right"/>
              <w:rPr>
                <w:sz w:val="24"/>
                <w:szCs w:val="24"/>
              </w:rPr>
            </w:pPr>
            <w:r>
              <w:rPr>
                <w:sz w:val="24"/>
                <w:szCs w:val="24"/>
              </w:rPr>
              <w:t>124,866</w:t>
            </w:r>
          </w:p>
        </w:tc>
      </w:tr>
      <w:tr w:rsidR="007F3BBD" w:rsidTr="00D061E4">
        <w:tc>
          <w:tcPr>
            <w:tcW w:w="2700" w:type="dxa"/>
          </w:tcPr>
          <w:p w:rsidR="007F3BBD" w:rsidRDefault="007F3BBD" w:rsidP="007F3BBD">
            <w:pPr>
              <w:jc w:val="both"/>
              <w:rPr>
                <w:sz w:val="24"/>
                <w:szCs w:val="24"/>
              </w:rPr>
            </w:pPr>
            <w:r>
              <w:rPr>
                <w:sz w:val="24"/>
                <w:szCs w:val="24"/>
              </w:rPr>
              <w:t>Lighting</w:t>
            </w:r>
          </w:p>
        </w:tc>
        <w:tc>
          <w:tcPr>
            <w:tcW w:w="1530" w:type="dxa"/>
          </w:tcPr>
          <w:p w:rsidR="007F3BBD" w:rsidRDefault="008525EC" w:rsidP="001A5FD7">
            <w:pPr>
              <w:jc w:val="right"/>
              <w:rPr>
                <w:sz w:val="24"/>
                <w:szCs w:val="24"/>
              </w:rPr>
            </w:pPr>
            <w:r>
              <w:rPr>
                <w:sz w:val="24"/>
                <w:szCs w:val="24"/>
              </w:rPr>
              <w:t>0.0000</w:t>
            </w:r>
          </w:p>
        </w:tc>
        <w:tc>
          <w:tcPr>
            <w:tcW w:w="1530" w:type="dxa"/>
          </w:tcPr>
          <w:p w:rsidR="007F3BBD" w:rsidRDefault="00510F20" w:rsidP="001A5FD7">
            <w:pPr>
              <w:jc w:val="right"/>
              <w:rPr>
                <w:sz w:val="24"/>
                <w:szCs w:val="24"/>
              </w:rPr>
            </w:pPr>
            <w:r>
              <w:rPr>
                <w:sz w:val="24"/>
                <w:szCs w:val="24"/>
              </w:rPr>
              <w:t>0.0000</w:t>
            </w:r>
          </w:p>
        </w:tc>
        <w:tc>
          <w:tcPr>
            <w:tcW w:w="1530" w:type="dxa"/>
          </w:tcPr>
          <w:p w:rsidR="007F3BBD" w:rsidRDefault="00AC2609" w:rsidP="001A5FD7">
            <w:pPr>
              <w:jc w:val="right"/>
              <w:rPr>
                <w:sz w:val="24"/>
                <w:szCs w:val="24"/>
              </w:rPr>
            </w:pPr>
            <w:r>
              <w:rPr>
                <w:sz w:val="24"/>
                <w:szCs w:val="24"/>
              </w:rPr>
              <w:t>0</w:t>
            </w:r>
          </w:p>
        </w:tc>
        <w:tc>
          <w:tcPr>
            <w:tcW w:w="1345" w:type="dxa"/>
          </w:tcPr>
          <w:p w:rsidR="007F3BBD" w:rsidRDefault="00AC2609" w:rsidP="001A5FD7">
            <w:pPr>
              <w:jc w:val="right"/>
              <w:rPr>
                <w:sz w:val="24"/>
                <w:szCs w:val="24"/>
              </w:rPr>
            </w:pPr>
            <w:r>
              <w:rPr>
                <w:sz w:val="24"/>
                <w:szCs w:val="24"/>
              </w:rPr>
              <w:t>0</w:t>
            </w:r>
          </w:p>
        </w:tc>
      </w:tr>
      <w:tr w:rsidR="007F3BBD" w:rsidTr="00D061E4">
        <w:tc>
          <w:tcPr>
            <w:tcW w:w="2700" w:type="dxa"/>
          </w:tcPr>
          <w:p w:rsidR="007F3BBD" w:rsidRDefault="007F3BBD" w:rsidP="007F3BBD">
            <w:pPr>
              <w:jc w:val="both"/>
              <w:rPr>
                <w:sz w:val="24"/>
                <w:szCs w:val="24"/>
              </w:rPr>
            </w:pPr>
            <w:r>
              <w:rPr>
                <w:sz w:val="24"/>
                <w:szCs w:val="24"/>
              </w:rPr>
              <w:t>TOTAL</w:t>
            </w:r>
          </w:p>
        </w:tc>
        <w:tc>
          <w:tcPr>
            <w:tcW w:w="1530" w:type="dxa"/>
          </w:tcPr>
          <w:p w:rsidR="007F3BBD" w:rsidRDefault="008525EC" w:rsidP="001A5FD7">
            <w:pPr>
              <w:jc w:val="right"/>
              <w:rPr>
                <w:sz w:val="24"/>
                <w:szCs w:val="24"/>
              </w:rPr>
            </w:pPr>
            <w:r>
              <w:rPr>
                <w:sz w:val="24"/>
                <w:szCs w:val="24"/>
              </w:rPr>
              <w:t>1.0000</w:t>
            </w:r>
          </w:p>
        </w:tc>
        <w:tc>
          <w:tcPr>
            <w:tcW w:w="1530" w:type="dxa"/>
          </w:tcPr>
          <w:p w:rsidR="007F3BBD" w:rsidRDefault="00510F20" w:rsidP="001A5FD7">
            <w:pPr>
              <w:jc w:val="right"/>
              <w:rPr>
                <w:sz w:val="24"/>
                <w:szCs w:val="24"/>
              </w:rPr>
            </w:pPr>
            <w:r>
              <w:rPr>
                <w:sz w:val="24"/>
                <w:szCs w:val="24"/>
              </w:rPr>
              <w:t>1.0000</w:t>
            </w:r>
          </w:p>
        </w:tc>
        <w:tc>
          <w:tcPr>
            <w:tcW w:w="1530" w:type="dxa"/>
          </w:tcPr>
          <w:p w:rsidR="007F3BBD" w:rsidRDefault="00AC2609" w:rsidP="001A5FD7">
            <w:pPr>
              <w:jc w:val="right"/>
              <w:rPr>
                <w:sz w:val="24"/>
                <w:szCs w:val="24"/>
              </w:rPr>
            </w:pPr>
            <w:r>
              <w:rPr>
                <w:sz w:val="24"/>
                <w:szCs w:val="24"/>
              </w:rPr>
              <w:t>942,403</w:t>
            </w:r>
          </w:p>
        </w:tc>
        <w:tc>
          <w:tcPr>
            <w:tcW w:w="1345" w:type="dxa"/>
          </w:tcPr>
          <w:p w:rsidR="007F3BBD" w:rsidRDefault="00AC2609" w:rsidP="00C2316F">
            <w:pPr>
              <w:jc w:val="right"/>
              <w:rPr>
                <w:sz w:val="24"/>
                <w:szCs w:val="24"/>
              </w:rPr>
            </w:pPr>
            <w:r>
              <w:rPr>
                <w:sz w:val="24"/>
                <w:szCs w:val="24"/>
              </w:rPr>
              <w:t>927,</w:t>
            </w:r>
            <w:r w:rsidR="00C2316F">
              <w:rPr>
                <w:sz w:val="24"/>
                <w:szCs w:val="24"/>
              </w:rPr>
              <w:t>700</w:t>
            </w:r>
          </w:p>
        </w:tc>
      </w:tr>
    </w:tbl>
    <w:p w:rsidR="007C7530" w:rsidRDefault="007C7530" w:rsidP="00C02D71">
      <w:pPr>
        <w:suppressLineNumbers/>
        <w:jc w:val="both"/>
        <w:rPr>
          <w:sz w:val="24"/>
          <w:szCs w:val="24"/>
        </w:rPr>
      </w:pPr>
    </w:p>
    <w:p w:rsidR="00C02D71" w:rsidRDefault="00C02D71" w:rsidP="00C02D71">
      <w:pPr>
        <w:suppressLineNumbers/>
        <w:spacing w:line="480" w:lineRule="auto"/>
        <w:ind w:left="720" w:hanging="720"/>
        <w:jc w:val="both"/>
        <w:rPr>
          <w:b/>
          <w:sz w:val="24"/>
          <w:szCs w:val="24"/>
          <w:u w:val="single"/>
        </w:rPr>
      </w:pPr>
    </w:p>
    <w:p w:rsidR="00C02D71" w:rsidRDefault="00C02D71" w:rsidP="00C02D71">
      <w:pPr>
        <w:suppressLineNumbers/>
        <w:spacing w:line="480" w:lineRule="auto"/>
        <w:ind w:left="720" w:hanging="720"/>
        <w:jc w:val="both"/>
        <w:rPr>
          <w:b/>
          <w:sz w:val="24"/>
          <w:szCs w:val="24"/>
          <w:u w:val="single"/>
        </w:rPr>
      </w:pPr>
    </w:p>
    <w:p w:rsidR="00C02D71" w:rsidRDefault="00C02D71" w:rsidP="00C02D71">
      <w:pPr>
        <w:suppressLineNumbers/>
        <w:spacing w:line="480" w:lineRule="auto"/>
        <w:ind w:left="720" w:hanging="720"/>
        <w:jc w:val="both"/>
        <w:rPr>
          <w:b/>
          <w:sz w:val="24"/>
          <w:szCs w:val="24"/>
          <w:u w:val="single"/>
        </w:rPr>
      </w:pPr>
    </w:p>
    <w:p w:rsidR="003F31D0" w:rsidRPr="003F31D0" w:rsidRDefault="003F31D0" w:rsidP="00C00544">
      <w:pPr>
        <w:spacing w:line="480" w:lineRule="auto"/>
        <w:ind w:left="720" w:hanging="720"/>
        <w:jc w:val="both"/>
        <w:rPr>
          <w:b/>
          <w:sz w:val="24"/>
          <w:szCs w:val="24"/>
          <w:u w:val="single"/>
        </w:rPr>
      </w:pPr>
      <w:r w:rsidRPr="003F31D0">
        <w:rPr>
          <w:b/>
          <w:sz w:val="24"/>
          <w:szCs w:val="24"/>
          <w:u w:val="single"/>
        </w:rPr>
        <w:t>Summary of Class Cost of Service</w:t>
      </w:r>
    </w:p>
    <w:p w:rsidR="003D2747" w:rsidRDefault="00C00544" w:rsidP="00C00544">
      <w:pPr>
        <w:spacing w:line="480" w:lineRule="auto"/>
        <w:ind w:left="720" w:hanging="720"/>
        <w:jc w:val="both"/>
        <w:rPr>
          <w:b/>
          <w:sz w:val="24"/>
          <w:szCs w:val="24"/>
        </w:rPr>
      </w:pPr>
      <w:r>
        <w:rPr>
          <w:b/>
          <w:sz w:val="24"/>
          <w:szCs w:val="24"/>
        </w:rPr>
        <w:t>Q.</w:t>
      </w:r>
      <w:r>
        <w:rPr>
          <w:b/>
          <w:sz w:val="24"/>
          <w:szCs w:val="24"/>
        </w:rPr>
        <w:tab/>
      </w:r>
      <w:r w:rsidR="006E550A">
        <w:rPr>
          <w:b/>
          <w:sz w:val="24"/>
          <w:szCs w:val="24"/>
        </w:rPr>
        <w:t>W</w:t>
      </w:r>
      <w:r>
        <w:rPr>
          <w:b/>
          <w:sz w:val="24"/>
          <w:szCs w:val="24"/>
        </w:rPr>
        <w:t xml:space="preserve">hat is </w:t>
      </w:r>
      <w:r w:rsidR="006E550A">
        <w:rPr>
          <w:b/>
          <w:sz w:val="24"/>
          <w:szCs w:val="24"/>
        </w:rPr>
        <w:t>each class’s cost of service consistent with Staff’s adjustments</w:t>
      </w:r>
      <w:r>
        <w:rPr>
          <w:b/>
          <w:sz w:val="24"/>
          <w:szCs w:val="24"/>
        </w:rPr>
        <w:t>?</w:t>
      </w:r>
    </w:p>
    <w:p w:rsidR="00C00544" w:rsidRDefault="00C00544" w:rsidP="001C434D">
      <w:pPr>
        <w:spacing w:line="480" w:lineRule="auto"/>
        <w:ind w:left="720" w:hanging="720"/>
        <w:jc w:val="both"/>
        <w:rPr>
          <w:sz w:val="24"/>
          <w:szCs w:val="24"/>
        </w:rPr>
      </w:pPr>
      <w:r w:rsidRPr="00C00544">
        <w:rPr>
          <w:sz w:val="24"/>
          <w:szCs w:val="24"/>
        </w:rPr>
        <w:t>A.</w:t>
      </w:r>
      <w:r w:rsidRPr="00C00544">
        <w:rPr>
          <w:sz w:val="24"/>
          <w:szCs w:val="24"/>
        </w:rPr>
        <w:tab/>
      </w:r>
      <w:r w:rsidR="006E550A">
        <w:rPr>
          <w:sz w:val="24"/>
          <w:szCs w:val="24"/>
        </w:rPr>
        <w:t>C</w:t>
      </w:r>
      <w:r>
        <w:rPr>
          <w:sz w:val="24"/>
          <w:szCs w:val="24"/>
        </w:rPr>
        <w:t>lass cost of service consistent with Staff’s adjustments can be seen in the following table:</w:t>
      </w:r>
    </w:p>
    <w:p w:rsidR="000C3FA1" w:rsidRDefault="000C3FA1" w:rsidP="000C3FA1">
      <w:pPr>
        <w:ind w:left="720" w:hanging="720"/>
        <w:rPr>
          <w:sz w:val="24"/>
          <w:szCs w:val="24"/>
        </w:rPr>
      </w:pPr>
      <w:r>
        <w:rPr>
          <w:sz w:val="24"/>
          <w:szCs w:val="24"/>
        </w:rPr>
        <w:tab/>
      </w:r>
      <w:r w:rsidRPr="00D35DAF">
        <w:rPr>
          <w:sz w:val="24"/>
          <w:szCs w:val="24"/>
        </w:rPr>
        <w:t>Table BTM-</w:t>
      </w:r>
      <w:r w:rsidR="00D35DAF" w:rsidRPr="00D35DAF">
        <w:rPr>
          <w:sz w:val="24"/>
          <w:szCs w:val="24"/>
        </w:rPr>
        <w:t>10</w:t>
      </w:r>
      <w:r>
        <w:rPr>
          <w:sz w:val="24"/>
          <w:szCs w:val="24"/>
        </w:rPr>
        <w:tab/>
      </w:r>
      <w:r>
        <w:rPr>
          <w:sz w:val="24"/>
          <w:szCs w:val="24"/>
        </w:rPr>
        <w:tab/>
        <w:t>Class Cost of Service</w:t>
      </w:r>
      <w:r w:rsidR="00C00544">
        <w:rPr>
          <w:sz w:val="24"/>
          <w:szCs w:val="24"/>
        </w:rPr>
        <w:tab/>
      </w:r>
      <w:r w:rsidR="00D513FB">
        <w:rPr>
          <w:sz w:val="24"/>
          <w:szCs w:val="24"/>
        </w:rPr>
        <w:t>(thousands of dollars)</w:t>
      </w:r>
    </w:p>
    <w:p w:rsidR="000C3FA1" w:rsidRDefault="00C00544" w:rsidP="000C3FA1">
      <w:pPr>
        <w:ind w:left="720" w:hanging="720"/>
        <w:rPr>
          <w:sz w:val="24"/>
          <w:szCs w:val="24"/>
        </w:rPr>
      </w:pPr>
      <w:r>
        <w:rPr>
          <w:sz w:val="24"/>
          <w:szCs w:val="24"/>
        </w:rPr>
        <w:tab/>
      </w:r>
    </w:p>
    <w:tbl>
      <w:tblPr>
        <w:tblStyle w:val="TableGrid"/>
        <w:tblW w:w="0" w:type="auto"/>
        <w:tblInd w:w="720" w:type="dxa"/>
        <w:tblLook w:val="04A0" w:firstRow="1" w:lastRow="0" w:firstColumn="1" w:lastColumn="0" w:noHBand="0" w:noVBand="1"/>
      </w:tblPr>
      <w:tblGrid>
        <w:gridCol w:w="1885"/>
        <w:gridCol w:w="1800"/>
        <w:gridCol w:w="1800"/>
      </w:tblGrid>
      <w:tr w:rsidR="000C3FA1" w:rsidTr="00394D6E">
        <w:tc>
          <w:tcPr>
            <w:tcW w:w="1885" w:type="dxa"/>
          </w:tcPr>
          <w:p w:rsidR="000C3FA1" w:rsidRDefault="000C3FA1" w:rsidP="000C3FA1">
            <w:pPr>
              <w:rPr>
                <w:sz w:val="24"/>
                <w:szCs w:val="24"/>
              </w:rPr>
            </w:pPr>
            <w:r>
              <w:rPr>
                <w:sz w:val="24"/>
                <w:szCs w:val="24"/>
              </w:rPr>
              <w:lastRenderedPageBreak/>
              <w:t>Class</w:t>
            </w:r>
          </w:p>
        </w:tc>
        <w:tc>
          <w:tcPr>
            <w:tcW w:w="1800" w:type="dxa"/>
          </w:tcPr>
          <w:p w:rsidR="000C3FA1" w:rsidRDefault="00C8262C" w:rsidP="00394D6E">
            <w:pPr>
              <w:jc w:val="center"/>
              <w:rPr>
                <w:sz w:val="24"/>
                <w:szCs w:val="24"/>
              </w:rPr>
            </w:pPr>
            <w:r>
              <w:rPr>
                <w:sz w:val="24"/>
                <w:szCs w:val="24"/>
              </w:rPr>
              <w:t>CEHE</w:t>
            </w:r>
            <w:r w:rsidR="00F476B8">
              <w:rPr>
                <w:rStyle w:val="FootnoteReference"/>
                <w:sz w:val="24"/>
                <w:szCs w:val="24"/>
              </w:rPr>
              <w:footnoteReference w:id="85"/>
            </w:r>
          </w:p>
        </w:tc>
        <w:tc>
          <w:tcPr>
            <w:tcW w:w="1800" w:type="dxa"/>
          </w:tcPr>
          <w:p w:rsidR="000C3FA1" w:rsidRDefault="000C3FA1" w:rsidP="00394D6E">
            <w:pPr>
              <w:jc w:val="center"/>
              <w:rPr>
                <w:sz w:val="24"/>
                <w:szCs w:val="24"/>
              </w:rPr>
            </w:pPr>
            <w:r>
              <w:rPr>
                <w:sz w:val="24"/>
                <w:szCs w:val="24"/>
              </w:rPr>
              <w:t>Staff</w:t>
            </w:r>
            <w:r w:rsidR="00513641">
              <w:rPr>
                <w:rStyle w:val="FootnoteReference"/>
                <w:sz w:val="24"/>
                <w:szCs w:val="24"/>
              </w:rPr>
              <w:footnoteReference w:id="86"/>
            </w:r>
          </w:p>
        </w:tc>
      </w:tr>
      <w:tr w:rsidR="000C3FA1" w:rsidTr="00394D6E">
        <w:tc>
          <w:tcPr>
            <w:tcW w:w="1885" w:type="dxa"/>
          </w:tcPr>
          <w:p w:rsidR="000C3FA1" w:rsidRDefault="000C3FA1" w:rsidP="000C3FA1">
            <w:pPr>
              <w:rPr>
                <w:sz w:val="24"/>
                <w:szCs w:val="24"/>
              </w:rPr>
            </w:pPr>
            <w:r>
              <w:rPr>
                <w:sz w:val="24"/>
                <w:szCs w:val="24"/>
              </w:rPr>
              <w:t>Residential</w:t>
            </w:r>
          </w:p>
        </w:tc>
        <w:tc>
          <w:tcPr>
            <w:tcW w:w="1800" w:type="dxa"/>
          </w:tcPr>
          <w:p w:rsidR="000C3FA1" w:rsidRDefault="009C58D8" w:rsidP="009C58D8">
            <w:pPr>
              <w:jc w:val="right"/>
              <w:rPr>
                <w:sz w:val="24"/>
                <w:szCs w:val="24"/>
              </w:rPr>
            </w:pPr>
            <w:r>
              <w:rPr>
                <w:sz w:val="24"/>
                <w:szCs w:val="24"/>
              </w:rPr>
              <w:t>1,217,815</w:t>
            </w:r>
          </w:p>
        </w:tc>
        <w:tc>
          <w:tcPr>
            <w:tcW w:w="1800" w:type="dxa"/>
          </w:tcPr>
          <w:p w:rsidR="000C3FA1" w:rsidRPr="00394D6E" w:rsidRDefault="000C3FA1" w:rsidP="00394D6E">
            <w:pPr>
              <w:jc w:val="right"/>
              <w:rPr>
                <w:sz w:val="24"/>
                <w:szCs w:val="24"/>
              </w:rPr>
            </w:pPr>
            <w:r w:rsidRPr="00394D6E">
              <w:rPr>
                <w:sz w:val="24"/>
                <w:szCs w:val="24"/>
              </w:rPr>
              <w:t>1</w:t>
            </w:r>
            <w:r w:rsidR="00394D6E">
              <w:rPr>
                <w:sz w:val="24"/>
                <w:szCs w:val="24"/>
              </w:rPr>
              <w:t>,</w:t>
            </w:r>
            <w:r w:rsidR="00BB17E5">
              <w:rPr>
                <w:sz w:val="24"/>
                <w:szCs w:val="24"/>
              </w:rPr>
              <w:t>164,020</w:t>
            </w:r>
          </w:p>
        </w:tc>
      </w:tr>
      <w:tr w:rsidR="000C3FA1" w:rsidTr="00394D6E">
        <w:tc>
          <w:tcPr>
            <w:tcW w:w="1885" w:type="dxa"/>
          </w:tcPr>
          <w:p w:rsidR="000C3FA1" w:rsidRDefault="000C3FA1" w:rsidP="000C3FA1">
            <w:pPr>
              <w:rPr>
                <w:sz w:val="24"/>
                <w:szCs w:val="24"/>
              </w:rPr>
            </w:pPr>
            <w:r>
              <w:rPr>
                <w:sz w:val="24"/>
                <w:szCs w:val="24"/>
              </w:rPr>
              <w:t>Secondary Small</w:t>
            </w:r>
          </w:p>
        </w:tc>
        <w:tc>
          <w:tcPr>
            <w:tcW w:w="1800" w:type="dxa"/>
          </w:tcPr>
          <w:p w:rsidR="000C3FA1" w:rsidRDefault="009C58D8" w:rsidP="009C58D8">
            <w:pPr>
              <w:jc w:val="right"/>
              <w:rPr>
                <w:sz w:val="24"/>
                <w:szCs w:val="24"/>
              </w:rPr>
            </w:pPr>
            <w:r>
              <w:rPr>
                <w:sz w:val="24"/>
                <w:szCs w:val="24"/>
              </w:rPr>
              <w:t>30,607</w:t>
            </w:r>
          </w:p>
        </w:tc>
        <w:tc>
          <w:tcPr>
            <w:tcW w:w="1800" w:type="dxa"/>
          </w:tcPr>
          <w:p w:rsidR="000C3FA1" w:rsidRPr="00394D6E" w:rsidRDefault="000C3FA1" w:rsidP="00394D6E">
            <w:pPr>
              <w:jc w:val="right"/>
              <w:rPr>
                <w:sz w:val="24"/>
                <w:szCs w:val="24"/>
              </w:rPr>
            </w:pPr>
            <w:r w:rsidRPr="00394D6E">
              <w:rPr>
                <w:sz w:val="24"/>
                <w:szCs w:val="24"/>
              </w:rPr>
              <w:t>28</w:t>
            </w:r>
            <w:r w:rsidR="00394D6E">
              <w:rPr>
                <w:sz w:val="24"/>
                <w:szCs w:val="24"/>
              </w:rPr>
              <w:t>,</w:t>
            </w:r>
            <w:r w:rsidR="00BB17E5">
              <w:rPr>
                <w:sz w:val="24"/>
                <w:szCs w:val="24"/>
              </w:rPr>
              <w:t>898</w:t>
            </w:r>
          </w:p>
        </w:tc>
      </w:tr>
      <w:tr w:rsidR="000C3FA1" w:rsidTr="00394D6E">
        <w:tc>
          <w:tcPr>
            <w:tcW w:w="1885" w:type="dxa"/>
          </w:tcPr>
          <w:p w:rsidR="000C3FA1" w:rsidRDefault="000C3FA1" w:rsidP="000C3FA1">
            <w:pPr>
              <w:rPr>
                <w:sz w:val="24"/>
                <w:szCs w:val="24"/>
              </w:rPr>
            </w:pPr>
            <w:r>
              <w:rPr>
                <w:sz w:val="24"/>
                <w:szCs w:val="24"/>
              </w:rPr>
              <w:t>Secondary Large</w:t>
            </w:r>
          </w:p>
        </w:tc>
        <w:tc>
          <w:tcPr>
            <w:tcW w:w="1800" w:type="dxa"/>
          </w:tcPr>
          <w:p w:rsidR="000C3FA1" w:rsidRDefault="009C58D8" w:rsidP="009C58D8">
            <w:pPr>
              <w:jc w:val="right"/>
              <w:rPr>
                <w:sz w:val="24"/>
                <w:szCs w:val="24"/>
              </w:rPr>
            </w:pPr>
            <w:r>
              <w:rPr>
                <w:sz w:val="24"/>
                <w:szCs w:val="24"/>
              </w:rPr>
              <w:t>739,867</w:t>
            </w:r>
          </w:p>
        </w:tc>
        <w:tc>
          <w:tcPr>
            <w:tcW w:w="1800" w:type="dxa"/>
          </w:tcPr>
          <w:p w:rsidR="000C3FA1" w:rsidRPr="00394D6E" w:rsidRDefault="00BB17E5" w:rsidP="00394D6E">
            <w:pPr>
              <w:jc w:val="right"/>
              <w:rPr>
                <w:sz w:val="24"/>
                <w:szCs w:val="24"/>
              </w:rPr>
            </w:pPr>
            <w:r>
              <w:rPr>
                <w:sz w:val="24"/>
                <w:szCs w:val="24"/>
              </w:rPr>
              <w:t>710,523</w:t>
            </w:r>
          </w:p>
        </w:tc>
      </w:tr>
      <w:tr w:rsidR="000C3FA1" w:rsidTr="00394D6E">
        <w:tc>
          <w:tcPr>
            <w:tcW w:w="1885" w:type="dxa"/>
          </w:tcPr>
          <w:p w:rsidR="000C3FA1" w:rsidRDefault="000C3FA1" w:rsidP="000C3FA1">
            <w:pPr>
              <w:rPr>
                <w:sz w:val="24"/>
                <w:szCs w:val="24"/>
              </w:rPr>
            </w:pPr>
            <w:r>
              <w:rPr>
                <w:sz w:val="24"/>
                <w:szCs w:val="24"/>
              </w:rPr>
              <w:t>Primary</w:t>
            </w:r>
          </w:p>
        </w:tc>
        <w:tc>
          <w:tcPr>
            <w:tcW w:w="1800" w:type="dxa"/>
          </w:tcPr>
          <w:p w:rsidR="000C3FA1" w:rsidRDefault="009C58D8" w:rsidP="009C58D8">
            <w:pPr>
              <w:jc w:val="right"/>
              <w:rPr>
                <w:sz w:val="24"/>
                <w:szCs w:val="24"/>
              </w:rPr>
            </w:pPr>
            <w:r>
              <w:rPr>
                <w:sz w:val="24"/>
                <w:szCs w:val="24"/>
              </w:rPr>
              <w:t>70,090</w:t>
            </w:r>
          </w:p>
        </w:tc>
        <w:tc>
          <w:tcPr>
            <w:tcW w:w="1800" w:type="dxa"/>
          </w:tcPr>
          <w:p w:rsidR="000C3FA1" w:rsidRPr="00394D6E" w:rsidRDefault="000C3FA1" w:rsidP="00394D6E">
            <w:pPr>
              <w:jc w:val="right"/>
              <w:rPr>
                <w:sz w:val="24"/>
                <w:szCs w:val="24"/>
              </w:rPr>
            </w:pPr>
            <w:r w:rsidRPr="00394D6E">
              <w:rPr>
                <w:sz w:val="24"/>
                <w:szCs w:val="24"/>
              </w:rPr>
              <w:t>66</w:t>
            </w:r>
            <w:r w:rsidR="00394D6E">
              <w:rPr>
                <w:sz w:val="24"/>
                <w:szCs w:val="24"/>
              </w:rPr>
              <w:t>,</w:t>
            </w:r>
            <w:r w:rsidR="00BB17E5">
              <w:rPr>
                <w:sz w:val="24"/>
                <w:szCs w:val="24"/>
              </w:rPr>
              <w:t>283</w:t>
            </w:r>
          </w:p>
        </w:tc>
      </w:tr>
      <w:tr w:rsidR="000C3FA1" w:rsidTr="00394D6E">
        <w:tc>
          <w:tcPr>
            <w:tcW w:w="1885" w:type="dxa"/>
          </w:tcPr>
          <w:p w:rsidR="000C3FA1" w:rsidRDefault="000C3FA1" w:rsidP="000C3FA1">
            <w:pPr>
              <w:rPr>
                <w:sz w:val="24"/>
                <w:szCs w:val="24"/>
              </w:rPr>
            </w:pPr>
            <w:r>
              <w:rPr>
                <w:sz w:val="24"/>
                <w:szCs w:val="24"/>
              </w:rPr>
              <w:t>Transmission</w:t>
            </w:r>
          </w:p>
        </w:tc>
        <w:tc>
          <w:tcPr>
            <w:tcW w:w="1800" w:type="dxa"/>
          </w:tcPr>
          <w:p w:rsidR="000C3FA1" w:rsidRDefault="009C58D8" w:rsidP="009C58D8">
            <w:pPr>
              <w:jc w:val="right"/>
              <w:rPr>
                <w:sz w:val="24"/>
                <w:szCs w:val="24"/>
              </w:rPr>
            </w:pPr>
            <w:r>
              <w:rPr>
                <w:sz w:val="24"/>
                <w:szCs w:val="24"/>
              </w:rPr>
              <w:t>162,434</w:t>
            </w:r>
          </w:p>
        </w:tc>
        <w:tc>
          <w:tcPr>
            <w:tcW w:w="1800" w:type="dxa"/>
          </w:tcPr>
          <w:p w:rsidR="000C3FA1" w:rsidRPr="00394D6E" w:rsidRDefault="00BB17E5" w:rsidP="00394D6E">
            <w:pPr>
              <w:jc w:val="right"/>
              <w:rPr>
                <w:sz w:val="24"/>
                <w:szCs w:val="24"/>
              </w:rPr>
            </w:pPr>
            <w:r>
              <w:rPr>
                <w:sz w:val="24"/>
                <w:szCs w:val="24"/>
              </w:rPr>
              <w:t>146,540</w:t>
            </w:r>
          </w:p>
        </w:tc>
      </w:tr>
      <w:tr w:rsidR="000C3FA1" w:rsidTr="00394D6E">
        <w:tc>
          <w:tcPr>
            <w:tcW w:w="1885" w:type="dxa"/>
          </w:tcPr>
          <w:p w:rsidR="000C3FA1" w:rsidRDefault="000C3FA1" w:rsidP="000C3FA1">
            <w:pPr>
              <w:rPr>
                <w:sz w:val="24"/>
                <w:szCs w:val="24"/>
              </w:rPr>
            </w:pPr>
            <w:r>
              <w:rPr>
                <w:sz w:val="24"/>
                <w:szCs w:val="24"/>
              </w:rPr>
              <w:t>Lighting - SLS</w:t>
            </w:r>
          </w:p>
        </w:tc>
        <w:tc>
          <w:tcPr>
            <w:tcW w:w="1800" w:type="dxa"/>
          </w:tcPr>
          <w:p w:rsidR="000C3FA1" w:rsidRDefault="009C58D8" w:rsidP="009C58D8">
            <w:pPr>
              <w:jc w:val="right"/>
              <w:rPr>
                <w:sz w:val="24"/>
                <w:szCs w:val="24"/>
              </w:rPr>
            </w:pPr>
            <w:r>
              <w:rPr>
                <w:sz w:val="24"/>
                <w:szCs w:val="24"/>
              </w:rPr>
              <w:t>58,265</w:t>
            </w:r>
          </w:p>
        </w:tc>
        <w:tc>
          <w:tcPr>
            <w:tcW w:w="1800" w:type="dxa"/>
          </w:tcPr>
          <w:p w:rsidR="000C3FA1" w:rsidRPr="00394D6E" w:rsidRDefault="00BB17E5" w:rsidP="00394D6E">
            <w:pPr>
              <w:jc w:val="right"/>
              <w:rPr>
                <w:sz w:val="24"/>
                <w:szCs w:val="24"/>
              </w:rPr>
            </w:pPr>
            <w:r>
              <w:rPr>
                <w:sz w:val="24"/>
                <w:szCs w:val="24"/>
              </w:rPr>
              <w:t>51,458</w:t>
            </w:r>
          </w:p>
        </w:tc>
      </w:tr>
      <w:tr w:rsidR="000C3FA1" w:rsidTr="00394D6E">
        <w:tc>
          <w:tcPr>
            <w:tcW w:w="1885" w:type="dxa"/>
          </w:tcPr>
          <w:p w:rsidR="000C3FA1" w:rsidRDefault="000C3FA1" w:rsidP="000C3FA1">
            <w:pPr>
              <w:rPr>
                <w:sz w:val="24"/>
                <w:szCs w:val="24"/>
              </w:rPr>
            </w:pPr>
            <w:r>
              <w:rPr>
                <w:sz w:val="24"/>
                <w:szCs w:val="24"/>
              </w:rPr>
              <w:t>Lighting - MLS</w:t>
            </w:r>
          </w:p>
        </w:tc>
        <w:tc>
          <w:tcPr>
            <w:tcW w:w="1800" w:type="dxa"/>
          </w:tcPr>
          <w:p w:rsidR="000C3FA1" w:rsidRDefault="009C58D8" w:rsidP="009C58D8">
            <w:pPr>
              <w:jc w:val="right"/>
              <w:rPr>
                <w:sz w:val="24"/>
                <w:szCs w:val="24"/>
              </w:rPr>
            </w:pPr>
            <w:r>
              <w:rPr>
                <w:sz w:val="24"/>
                <w:szCs w:val="24"/>
              </w:rPr>
              <w:t>3,127</w:t>
            </w:r>
          </w:p>
        </w:tc>
        <w:tc>
          <w:tcPr>
            <w:tcW w:w="1800" w:type="dxa"/>
          </w:tcPr>
          <w:p w:rsidR="000C3FA1" w:rsidRPr="00394D6E" w:rsidRDefault="000C3FA1" w:rsidP="00394D6E">
            <w:pPr>
              <w:jc w:val="right"/>
              <w:rPr>
                <w:sz w:val="24"/>
                <w:szCs w:val="24"/>
              </w:rPr>
            </w:pPr>
            <w:r w:rsidRPr="00394D6E">
              <w:rPr>
                <w:sz w:val="24"/>
                <w:szCs w:val="24"/>
              </w:rPr>
              <w:t>2</w:t>
            </w:r>
            <w:r w:rsidR="00BB17E5">
              <w:rPr>
                <w:sz w:val="24"/>
                <w:szCs w:val="24"/>
              </w:rPr>
              <w:t>,687</w:t>
            </w:r>
          </w:p>
        </w:tc>
      </w:tr>
      <w:tr w:rsidR="000C3FA1" w:rsidTr="00394D6E">
        <w:tc>
          <w:tcPr>
            <w:tcW w:w="1885" w:type="dxa"/>
          </w:tcPr>
          <w:p w:rsidR="000C3FA1" w:rsidRDefault="000C3FA1" w:rsidP="000C3FA1">
            <w:pPr>
              <w:rPr>
                <w:sz w:val="24"/>
                <w:szCs w:val="24"/>
              </w:rPr>
            </w:pPr>
            <w:r>
              <w:rPr>
                <w:sz w:val="24"/>
                <w:szCs w:val="24"/>
              </w:rPr>
              <w:t>TOTAL</w:t>
            </w:r>
          </w:p>
        </w:tc>
        <w:tc>
          <w:tcPr>
            <w:tcW w:w="1800" w:type="dxa"/>
          </w:tcPr>
          <w:p w:rsidR="000C3FA1" w:rsidRDefault="00D3401D" w:rsidP="00D3401D">
            <w:pPr>
              <w:jc w:val="right"/>
              <w:rPr>
                <w:sz w:val="24"/>
                <w:szCs w:val="24"/>
              </w:rPr>
            </w:pPr>
            <w:r>
              <w:rPr>
                <w:sz w:val="24"/>
                <w:szCs w:val="24"/>
              </w:rPr>
              <w:t>2,282,205</w:t>
            </w:r>
          </w:p>
        </w:tc>
        <w:tc>
          <w:tcPr>
            <w:tcW w:w="1800" w:type="dxa"/>
          </w:tcPr>
          <w:p w:rsidR="000C3FA1" w:rsidRPr="00394D6E" w:rsidRDefault="00BE255E" w:rsidP="00394D6E">
            <w:pPr>
              <w:jc w:val="right"/>
              <w:rPr>
                <w:sz w:val="24"/>
                <w:szCs w:val="24"/>
              </w:rPr>
            </w:pPr>
            <w:r>
              <w:rPr>
                <w:sz w:val="24"/>
                <w:szCs w:val="24"/>
              </w:rPr>
              <w:t>2,170,409</w:t>
            </w:r>
          </w:p>
        </w:tc>
      </w:tr>
    </w:tbl>
    <w:p w:rsidR="002059FD" w:rsidRDefault="002059FD" w:rsidP="000C3FA1">
      <w:pPr>
        <w:ind w:left="720" w:hanging="720"/>
        <w:rPr>
          <w:sz w:val="24"/>
          <w:szCs w:val="24"/>
        </w:rPr>
      </w:pPr>
    </w:p>
    <w:p w:rsidR="00F37A41" w:rsidRPr="00F37A41" w:rsidRDefault="00F37A41" w:rsidP="00F37A41">
      <w:pPr>
        <w:spacing w:line="480" w:lineRule="auto"/>
        <w:ind w:left="720" w:hanging="720"/>
        <w:rPr>
          <w:sz w:val="24"/>
          <w:szCs w:val="24"/>
        </w:rPr>
      </w:pPr>
      <w:r>
        <w:rPr>
          <w:sz w:val="24"/>
          <w:szCs w:val="24"/>
        </w:rPr>
        <w:tab/>
      </w:r>
      <w:r>
        <w:rPr>
          <w:sz w:val="24"/>
          <w:szCs w:val="24"/>
        </w:rPr>
        <w:tab/>
      </w:r>
      <w:r w:rsidR="00686D3F">
        <w:rPr>
          <w:sz w:val="24"/>
          <w:szCs w:val="24"/>
        </w:rPr>
        <w:t>This</w:t>
      </w:r>
      <w:r w:rsidR="00FC13DE">
        <w:rPr>
          <w:sz w:val="24"/>
          <w:szCs w:val="24"/>
        </w:rPr>
        <w:t xml:space="preserve"> conclu</w:t>
      </w:r>
      <w:r w:rsidR="00686D3F">
        <w:rPr>
          <w:sz w:val="24"/>
          <w:szCs w:val="24"/>
        </w:rPr>
        <w:t xml:space="preserve">des </w:t>
      </w:r>
      <w:r w:rsidR="00FC13DE">
        <w:rPr>
          <w:sz w:val="24"/>
          <w:szCs w:val="24"/>
        </w:rPr>
        <w:t>the cost allocation process.</w:t>
      </w:r>
    </w:p>
    <w:p w:rsidR="00695E65" w:rsidRDefault="00550CEC" w:rsidP="003551CC">
      <w:pPr>
        <w:pStyle w:val="Heading1"/>
        <w:numPr>
          <w:ilvl w:val="0"/>
          <w:numId w:val="1"/>
        </w:numPr>
        <w:spacing w:line="480" w:lineRule="auto"/>
        <w:jc w:val="both"/>
        <w:rPr>
          <w:sz w:val="24"/>
          <w:szCs w:val="24"/>
        </w:rPr>
      </w:pPr>
      <w:bookmarkStart w:id="21" w:name="_Toc11215211"/>
      <w:r>
        <w:rPr>
          <w:sz w:val="24"/>
          <w:szCs w:val="24"/>
        </w:rPr>
        <w:t xml:space="preserve">RETAIL </w:t>
      </w:r>
      <w:r w:rsidR="00FC783A">
        <w:rPr>
          <w:sz w:val="24"/>
          <w:szCs w:val="24"/>
        </w:rPr>
        <w:t xml:space="preserve">CLASS </w:t>
      </w:r>
      <w:r w:rsidR="000B56C2">
        <w:rPr>
          <w:sz w:val="24"/>
          <w:szCs w:val="24"/>
        </w:rPr>
        <w:t xml:space="preserve">PRESENT </w:t>
      </w:r>
      <w:r w:rsidR="00FC783A">
        <w:rPr>
          <w:sz w:val="24"/>
          <w:szCs w:val="24"/>
        </w:rPr>
        <w:t xml:space="preserve">BASE </w:t>
      </w:r>
      <w:r w:rsidR="000B56C2">
        <w:rPr>
          <w:sz w:val="24"/>
          <w:szCs w:val="24"/>
        </w:rPr>
        <w:t>REVENUES</w:t>
      </w:r>
      <w:bookmarkEnd w:id="21"/>
    </w:p>
    <w:p w:rsidR="003C0384" w:rsidRDefault="003C0384" w:rsidP="003C0384">
      <w:pPr>
        <w:pStyle w:val="BodyTextIndent2"/>
        <w:jc w:val="both"/>
        <w:rPr>
          <w:b/>
          <w:szCs w:val="24"/>
        </w:rPr>
      </w:pPr>
      <w:r w:rsidRPr="00E24173">
        <w:rPr>
          <w:b/>
          <w:szCs w:val="24"/>
        </w:rPr>
        <w:t>Q.</w:t>
      </w:r>
      <w:r w:rsidRPr="00E24173">
        <w:rPr>
          <w:b/>
          <w:szCs w:val="24"/>
        </w:rPr>
        <w:tab/>
      </w:r>
      <w:r>
        <w:rPr>
          <w:b/>
          <w:szCs w:val="24"/>
        </w:rPr>
        <w:t xml:space="preserve">With the conclusion of cost </w:t>
      </w:r>
      <w:r w:rsidR="00B836F5">
        <w:rPr>
          <w:b/>
          <w:szCs w:val="24"/>
        </w:rPr>
        <w:t>allocation</w:t>
      </w:r>
      <w:r>
        <w:rPr>
          <w:b/>
          <w:szCs w:val="24"/>
        </w:rPr>
        <w:t xml:space="preserve">, is it possible to ascertain if </w:t>
      </w:r>
      <w:r w:rsidR="00C8262C">
        <w:rPr>
          <w:b/>
          <w:szCs w:val="24"/>
        </w:rPr>
        <w:t>CEHE</w:t>
      </w:r>
      <w:r>
        <w:rPr>
          <w:b/>
          <w:szCs w:val="24"/>
        </w:rPr>
        <w:t xml:space="preserve">’s present base revenues </w:t>
      </w:r>
      <w:r w:rsidR="007734E4">
        <w:rPr>
          <w:b/>
          <w:szCs w:val="24"/>
        </w:rPr>
        <w:t xml:space="preserve">under current rates </w:t>
      </w:r>
      <w:r>
        <w:rPr>
          <w:b/>
          <w:szCs w:val="24"/>
        </w:rPr>
        <w:t xml:space="preserve">are sufficient to recover its costs and </w:t>
      </w:r>
      <w:bookmarkStart w:id="22" w:name="OLE_LINK3"/>
      <w:bookmarkStart w:id="23" w:name="OLE_LINK4"/>
      <w:r>
        <w:rPr>
          <w:b/>
          <w:szCs w:val="24"/>
        </w:rPr>
        <w:t xml:space="preserve">grant </w:t>
      </w:r>
      <w:r w:rsidR="007734E4">
        <w:rPr>
          <w:b/>
          <w:szCs w:val="24"/>
        </w:rPr>
        <w:t>the Company</w:t>
      </w:r>
      <w:r>
        <w:rPr>
          <w:b/>
          <w:szCs w:val="24"/>
        </w:rPr>
        <w:t xml:space="preserve"> a reasonable opportunity to earn a fair return for shareholders</w:t>
      </w:r>
      <w:bookmarkEnd w:id="22"/>
      <w:bookmarkEnd w:id="23"/>
      <w:r>
        <w:rPr>
          <w:b/>
          <w:szCs w:val="24"/>
        </w:rPr>
        <w:t>?</w:t>
      </w:r>
    </w:p>
    <w:p w:rsidR="003C0384" w:rsidRDefault="003C0384" w:rsidP="003C0384">
      <w:pPr>
        <w:pStyle w:val="BodyTextIndent2"/>
        <w:jc w:val="both"/>
        <w:rPr>
          <w:szCs w:val="24"/>
        </w:rPr>
      </w:pPr>
      <w:r w:rsidRPr="00441321">
        <w:rPr>
          <w:szCs w:val="24"/>
        </w:rPr>
        <w:t>A.</w:t>
      </w:r>
      <w:r w:rsidRPr="00441321">
        <w:rPr>
          <w:szCs w:val="24"/>
        </w:rPr>
        <w:tab/>
      </w:r>
      <w:r>
        <w:rPr>
          <w:szCs w:val="24"/>
        </w:rPr>
        <w:t xml:space="preserve">No.  Before such a determination can be made, it is necessary to calculate </w:t>
      </w:r>
      <w:r w:rsidR="007734E4">
        <w:rPr>
          <w:szCs w:val="24"/>
        </w:rPr>
        <w:t>the Company</w:t>
      </w:r>
      <w:r>
        <w:rPr>
          <w:szCs w:val="24"/>
        </w:rPr>
        <w:t xml:space="preserve">’s present </w:t>
      </w:r>
      <w:r w:rsidR="006E550A">
        <w:rPr>
          <w:szCs w:val="24"/>
        </w:rPr>
        <w:t xml:space="preserve">retail </w:t>
      </w:r>
      <w:r>
        <w:rPr>
          <w:szCs w:val="24"/>
        </w:rPr>
        <w:t xml:space="preserve">base revenues and compare that level of revenues to </w:t>
      </w:r>
      <w:r w:rsidR="007734E4">
        <w:rPr>
          <w:szCs w:val="24"/>
        </w:rPr>
        <w:t>the Company</w:t>
      </w:r>
      <w:r>
        <w:rPr>
          <w:szCs w:val="24"/>
        </w:rPr>
        <w:t xml:space="preserve">’s </w:t>
      </w:r>
      <w:r w:rsidR="006E550A">
        <w:rPr>
          <w:szCs w:val="24"/>
        </w:rPr>
        <w:t xml:space="preserve">retail </w:t>
      </w:r>
      <w:r w:rsidR="006A0DFD">
        <w:rPr>
          <w:szCs w:val="24"/>
        </w:rPr>
        <w:t>cost of service</w:t>
      </w:r>
      <w:r>
        <w:rPr>
          <w:szCs w:val="24"/>
        </w:rPr>
        <w:t>.</w:t>
      </w:r>
    </w:p>
    <w:p w:rsidR="003F219D" w:rsidRDefault="003F219D" w:rsidP="003C0384">
      <w:pPr>
        <w:pStyle w:val="BodyTextIndent2"/>
        <w:jc w:val="both"/>
        <w:rPr>
          <w:szCs w:val="24"/>
        </w:rPr>
      </w:pPr>
      <w:r>
        <w:rPr>
          <w:szCs w:val="24"/>
        </w:rPr>
        <w:tab/>
      </w:r>
      <w:r>
        <w:rPr>
          <w:szCs w:val="24"/>
        </w:rPr>
        <w:tab/>
        <w:t xml:space="preserve">If </w:t>
      </w:r>
      <w:r w:rsidR="00C8262C">
        <w:rPr>
          <w:szCs w:val="24"/>
        </w:rPr>
        <w:t>CEHE</w:t>
      </w:r>
      <w:r>
        <w:rPr>
          <w:szCs w:val="24"/>
        </w:rPr>
        <w:t xml:space="preserve">’s present revenues exceed its costs, the Company has a revenue surplus and its rates must be lowered.  If present revenues are less than cost of service, the Company has a revenue shortfall and rates must be </w:t>
      </w:r>
      <w:r w:rsidR="008A64DB">
        <w:rPr>
          <w:szCs w:val="24"/>
        </w:rPr>
        <w:t xml:space="preserve">increased on an overall basis to </w:t>
      </w:r>
      <w:r w:rsidR="008A64DB" w:rsidRPr="008A64DB">
        <w:rPr>
          <w:szCs w:val="24"/>
        </w:rPr>
        <w:t xml:space="preserve">grant the Company a reasonable opportunity to </w:t>
      </w:r>
      <w:r w:rsidR="008A64DB">
        <w:rPr>
          <w:szCs w:val="24"/>
        </w:rPr>
        <w:t xml:space="preserve">recover its costs and </w:t>
      </w:r>
      <w:r w:rsidR="008A64DB" w:rsidRPr="008A64DB">
        <w:rPr>
          <w:szCs w:val="24"/>
        </w:rPr>
        <w:t>earn a fair return for its shareholders</w:t>
      </w:r>
      <w:r w:rsidR="008A64DB">
        <w:rPr>
          <w:szCs w:val="24"/>
        </w:rPr>
        <w:t>.</w:t>
      </w:r>
    </w:p>
    <w:p w:rsidR="000629C5" w:rsidRDefault="000629C5" w:rsidP="003C0384">
      <w:pPr>
        <w:pStyle w:val="BodyTextIndent2"/>
        <w:jc w:val="both"/>
        <w:rPr>
          <w:b/>
          <w:szCs w:val="24"/>
        </w:rPr>
      </w:pPr>
      <w:r>
        <w:rPr>
          <w:b/>
          <w:szCs w:val="24"/>
        </w:rPr>
        <w:lastRenderedPageBreak/>
        <w:t>Q.</w:t>
      </w:r>
      <w:r>
        <w:rPr>
          <w:b/>
          <w:szCs w:val="24"/>
        </w:rPr>
        <w:tab/>
        <w:t>Which Company witness sponsors the Company’s calculation of present base revenues?</w:t>
      </w:r>
    </w:p>
    <w:p w:rsidR="000629C5" w:rsidRDefault="000629C5" w:rsidP="003C0384">
      <w:pPr>
        <w:pStyle w:val="BodyTextIndent2"/>
        <w:jc w:val="both"/>
        <w:rPr>
          <w:b/>
          <w:szCs w:val="24"/>
        </w:rPr>
      </w:pPr>
      <w:r w:rsidRPr="000629C5">
        <w:rPr>
          <w:szCs w:val="24"/>
        </w:rPr>
        <w:t>A.</w:t>
      </w:r>
      <w:r w:rsidRPr="000629C5">
        <w:rPr>
          <w:szCs w:val="24"/>
        </w:rPr>
        <w:tab/>
      </w:r>
      <w:r w:rsidR="00AD0893">
        <w:rPr>
          <w:szCs w:val="24"/>
        </w:rPr>
        <w:t xml:space="preserve">Matthew A. </w:t>
      </w:r>
      <w:r w:rsidR="00AD0893" w:rsidRPr="00AD0893">
        <w:rPr>
          <w:szCs w:val="24"/>
        </w:rPr>
        <w:t>Troxle</w:t>
      </w:r>
      <w:r w:rsidR="003C1943" w:rsidRPr="00AD0893">
        <w:rPr>
          <w:szCs w:val="24"/>
        </w:rPr>
        <w:t>.</w:t>
      </w:r>
      <w:r w:rsidR="003C1943" w:rsidRPr="00AD0893">
        <w:rPr>
          <w:rStyle w:val="FootnoteReference"/>
          <w:szCs w:val="24"/>
        </w:rPr>
        <w:footnoteReference w:id="87"/>
      </w:r>
    </w:p>
    <w:p w:rsidR="003C0384" w:rsidRPr="00170816" w:rsidRDefault="003C0384" w:rsidP="003C0384">
      <w:pPr>
        <w:pStyle w:val="BodyTextIndent2"/>
        <w:jc w:val="both"/>
        <w:rPr>
          <w:b/>
          <w:szCs w:val="24"/>
        </w:rPr>
      </w:pPr>
      <w:r w:rsidRPr="00170816">
        <w:rPr>
          <w:b/>
          <w:szCs w:val="24"/>
        </w:rPr>
        <w:t>Q.</w:t>
      </w:r>
      <w:r w:rsidRPr="00170816">
        <w:rPr>
          <w:b/>
          <w:szCs w:val="24"/>
        </w:rPr>
        <w:tab/>
        <w:t xml:space="preserve">Has Staff recommended any adjustments to </w:t>
      </w:r>
      <w:r w:rsidR="00C8262C">
        <w:rPr>
          <w:b/>
          <w:szCs w:val="24"/>
        </w:rPr>
        <w:t>CEHE</w:t>
      </w:r>
      <w:r w:rsidRPr="00170816">
        <w:rPr>
          <w:b/>
          <w:szCs w:val="24"/>
        </w:rPr>
        <w:t xml:space="preserve">’s </w:t>
      </w:r>
      <w:r w:rsidR="006F2E59">
        <w:rPr>
          <w:b/>
          <w:szCs w:val="24"/>
        </w:rPr>
        <w:t>determination</w:t>
      </w:r>
      <w:r w:rsidRPr="00170816">
        <w:rPr>
          <w:b/>
          <w:szCs w:val="24"/>
        </w:rPr>
        <w:t xml:space="preserve"> of present base revenues?</w:t>
      </w:r>
    </w:p>
    <w:p w:rsidR="007734E4" w:rsidRDefault="007734E4" w:rsidP="003C0384">
      <w:pPr>
        <w:pStyle w:val="BodyTextIndent2"/>
        <w:jc w:val="both"/>
        <w:rPr>
          <w:szCs w:val="24"/>
        </w:rPr>
      </w:pPr>
      <w:r>
        <w:rPr>
          <w:szCs w:val="24"/>
        </w:rPr>
        <w:t>A.</w:t>
      </w:r>
      <w:r>
        <w:rPr>
          <w:szCs w:val="24"/>
        </w:rPr>
        <w:tab/>
        <w:t xml:space="preserve">Yes.  Staff has two </w:t>
      </w:r>
      <w:r w:rsidR="006F2E59">
        <w:rPr>
          <w:szCs w:val="24"/>
        </w:rPr>
        <w:t>adjustments:</w:t>
      </w:r>
    </w:p>
    <w:p w:rsidR="003C0384" w:rsidRDefault="003C0384" w:rsidP="006F2E59">
      <w:pPr>
        <w:pStyle w:val="BodyTextIndent2"/>
        <w:numPr>
          <w:ilvl w:val="0"/>
          <w:numId w:val="12"/>
        </w:numPr>
        <w:ind w:left="1080"/>
        <w:jc w:val="both"/>
        <w:rPr>
          <w:szCs w:val="24"/>
        </w:rPr>
      </w:pPr>
      <w:r>
        <w:rPr>
          <w:szCs w:val="24"/>
        </w:rPr>
        <w:t xml:space="preserve">Staff witness Alicia Maloy recommends adjustments to </w:t>
      </w:r>
      <w:r w:rsidR="00C8262C">
        <w:rPr>
          <w:szCs w:val="24"/>
        </w:rPr>
        <w:t>CEHE</w:t>
      </w:r>
      <w:r>
        <w:rPr>
          <w:szCs w:val="24"/>
        </w:rPr>
        <w:t xml:space="preserve">’s </w:t>
      </w:r>
      <w:r w:rsidR="007734E4">
        <w:rPr>
          <w:szCs w:val="24"/>
        </w:rPr>
        <w:t xml:space="preserve">weather normalization of </w:t>
      </w:r>
      <w:r>
        <w:rPr>
          <w:szCs w:val="24"/>
        </w:rPr>
        <w:t>billing units, which is an input to the calculation of present base revenues.</w:t>
      </w:r>
      <w:r>
        <w:rPr>
          <w:rStyle w:val="FootnoteReference"/>
          <w:szCs w:val="24"/>
        </w:rPr>
        <w:footnoteReference w:id="88"/>
      </w:r>
    </w:p>
    <w:p w:rsidR="007734E4" w:rsidRDefault="007734E4" w:rsidP="006F2E59">
      <w:pPr>
        <w:pStyle w:val="BodyTextIndent2"/>
        <w:numPr>
          <w:ilvl w:val="0"/>
          <w:numId w:val="12"/>
        </w:numPr>
        <w:ind w:left="1080"/>
        <w:jc w:val="both"/>
        <w:rPr>
          <w:szCs w:val="24"/>
        </w:rPr>
      </w:pPr>
      <w:r>
        <w:rPr>
          <w:szCs w:val="24"/>
        </w:rPr>
        <w:t xml:space="preserve">Staff witness William Abbott </w:t>
      </w:r>
      <w:r w:rsidR="00704210">
        <w:rPr>
          <w:szCs w:val="24"/>
        </w:rPr>
        <w:t>recommends rejection of</w:t>
      </w:r>
      <w:r>
        <w:rPr>
          <w:szCs w:val="24"/>
        </w:rPr>
        <w:t xml:space="preserve"> </w:t>
      </w:r>
      <w:r w:rsidR="00C8262C">
        <w:rPr>
          <w:szCs w:val="24"/>
        </w:rPr>
        <w:t>CEHE</w:t>
      </w:r>
      <w:r>
        <w:rPr>
          <w:szCs w:val="24"/>
        </w:rPr>
        <w:t xml:space="preserve">’s </w:t>
      </w:r>
      <w:r w:rsidR="002333A3">
        <w:rPr>
          <w:szCs w:val="24"/>
        </w:rPr>
        <w:t>annualization of</w:t>
      </w:r>
      <w:r>
        <w:rPr>
          <w:szCs w:val="24"/>
        </w:rPr>
        <w:t xml:space="preserve"> </w:t>
      </w:r>
      <w:r w:rsidR="00704210">
        <w:rPr>
          <w:szCs w:val="24"/>
        </w:rPr>
        <w:t>estimated energy savings</w:t>
      </w:r>
      <w:r>
        <w:rPr>
          <w:szCs w:val="24"/>
        </w:rPr>
        <w:t xml:space="preserve"> </w:t>
      </w:r>
      <w:r w:rsidR="002333A3">
        <w:rPr>
          <w:szCs w:val="24"/>
        </w:rPr>
        <w:t>that the Company claims is necessary to account for energy-</w:t>
      </w:r>
      <w:r>
        <w:rPr>
          <w:szCs w:val="24"/>
        </w:rPr>
        <w:t xml:space="preserve">efficiency measures implemented during the Test Year, </w:t>
      </w:r>
      <w:r w:rsidR="007579A9">
        <w:rPr>
          <w:szCs w:val="24"/>
        </w:rPr>
        <w:t>which is also an input to the calculation of present base revenues.</w:t>
      </w:r>
      <w:r w:rsidR="006F2E59">
        <w:rPr>
          <w:rStyle w:val="FootnoteReference"/>
          <w:szCs w:val="24"/>
        </w:rPr>
        <w:footnoteReference w:id="89"/>
      </w:r>
    </w:p>
    <w:p w:rsidR="00C02D71" w:rsidRDefault="00C02D71" w:rsidP="00C02D71">
      <w:pPr>
        <w:pStyle w:val="BodyTextIndent2"/>
        <w:suppressLineNumbers/>
        <w:jc w:val="both"/>
        <w:rPr>
          <w:b/>
          <w:szCs w:val="24"/>
        </w:rPr>
      </w:pPr>
    </w:p>
    <w:p w:rsidR="002333A3" w:rsidRPr="002333A3" w:rsidRDefault="00D155D6" w:rsidP="002333A3">
      <w:pPr>
        <w:pStyle w:val="BodyTextIndent2"/>
        <w:jc w:val="both"/>
        <w:rPr>
          <w:b/>
          <w:szCs w:val="24"/>
        </w:rPr>
      </w:pPr>
      <w:r>
        <w:rPr>
          <w:b/>
          <w:szCs w:val="24"/>
        </w:rPr>
        <w:t>Q.</w:t>
      </w:r>
      <w:r>
        <w:rPr>
          <w:b/>
          <w:szCs w:val="24"/>
        </w:rPr>
        <w:tab/>
        <w:t>Company witness</w:t>
      </w:r>
      <w:r w:rsidR="002333A3" w:rsidRPr="002333A3">
        <w:rPr>
          <w:b/>
          <w:szCs w:val="24"/>
        </w:rPr>
        <w:t xml:space="preserve"> Troxle refers to “billing determinants”</w:t>
      </w:r>
      <w:r w:rsidR="001C77DA">
        <w:rPr>
          <w:rStyle w:val="FootnoteReference"/>
          <w:b/>
          <w:szCs w:val="24"/>
        </w:rPr>
        <w:footnoteReference w:id="90"/>
      </w:r>
      <w:r w:rsidR="002A58EF">
        <w:rPr>
          <w:b/>
          <w:szCs w:val="24"/>
        </w:rPr>
        <w:t xml:space="preserve"> </w:t>
      </w:r>
      <w:r w:rsidR="002333A3" w:rsidRPr="002333A3">
        <w:rPr>
          <w:b/>
          <w:szCs w:val="24"/>
        </w:rPr>
        <w:t>and you refer to “billing units.”  What is the difference?</w:t>
      </w:r>
    </w:p>
    <w:p w:rsidR="002333A3" w:rsidRDefault="002333A3" w:rsidP="002333A3">
      <w:pPr>
        <w:pStyle w:val="BodyTextIndent2"/>
        <w:jc w:val="both"/>
        <w:rPr>
          <w:szCs w:val="24"/>
        </w:rPr>
      </w:pPr>
      <w:r>
        <w:rPr>
          <w:szCs w:val="24"/>
        </w:rPr>
        <w:t>A.</w:t>
      </w:r>
      <w:r>
        <w:rPr>
          <w:szCs w:val="24"/>
        </w:rPr>
        <w:tab/>
      </w:r>
      <w:r w:rsidR="00DA4B6C">
        <w:rPr>
          <w:szCs w:val="24"/>
        </w:rPr>
        <w:t xml:space="preserve">None.  </w:t>
      </w:r>
      <w:r>
        <w:rPr>
          <w:szCs w:val="24"/>
        </w:rPr>
        <w:t xml:space="preserve">For the purpose of this discussion, </w:t>
      </w:r>
      <w:r w:rsidR="00AA6CB2">
        <w:rPr>
          <w:szCs w:val="24"/>
        </w:rPr>
        <w:t>t</w:t>
      </w:r>
      <w:r>
        <w:rPr>
          <w:szCs w:val="24"/>
        </w:rPr>
        <w:t>he terms are synonymous.</w:t>
      </w:r>
      <w:r w:rsidR="00991EDB">
        <w:rPr>
          <w:rStyle w:val="FootnoteReference"/>
          <w:szCs w:val="24"/>
        </w:rPr>
        <w:footnoteReference w:id="91"/>
      </w:r>
    </w:p>
    <w:p w:rsidR="003C0384" w:rsidRPr="00170816" w:rsidRDefault="006E550A" w:rsidP="009E2A2A">
      <w:pPr>
        <w:pStyle w:val="BodyTextIndent2"/>
        <w:jc w:val="both"/>
        <w:rPr>
          <w:b/>
          <w:szCs w:val="24"/>
        </w:rPr>
      </w:pPr>
      <w:r>
        <w:rPr>
          <w:b/>
          <w:szCs w:val="24"/>
        </w:rPr>
        <w:lastRenderedPageBreak/>
        <w:t>Q.</w:t>
      </w:r>
      <w:r>
        <w:rPr>
          <w:b/>
          <w:szCs w:val="24"/>
        </w:rPr>
        <w:tab/>
        <w:t xml:space="preserve">Have you </w:t>
      </w:r>
      <w:r w:rsidR="003C0384" w:rsidRPr="00170816">
        <w:rPr>
          <w:b/>
          <w:szCs w:val="24"/>
        </w:rPr>
        <w:t xml:space="preserve">calculated </w:t>
      </w:r>
      <w:r w:rsidR="00472F55">
        <w:rPr>
          <w:b/>
          <w:szCs w:val="24"/>
        </w:rPr>
        <w:t>the Company’s</w:t>
      </w:r>
      <w:r w:rsidR="003C0384" w:rsidRPr="00170816">
        <w:rPr>
          <w:b/>
          <w:szCs w:val="24"/>
        </w:rPr>
        <w:t xml:space="preserve"> present base revenues </w:t>
      </w:r>
      <w:r w:rsidR="00472F55">
        <w:rPr>
          <w:b/>
          <w:szCs w:val="24"/>
        </w:rPr>
        <w:t>consistent with</w:t>
      </w:r>
      <w:r w:rsidR="003C0384">
        <w:rPr>
          <w:b/>
          <w:szCs w:val="24"/>
        </w:rPr>
        <w:t xml:space="preserve"> </w:t>
      </w:r>
      <w:r w:rsidR="003C0384" w:rsidRPr="00170816">
        <w:rPr>
          <w:b/>
          <w:szCs w:val="24"/>
        </w:rPr>
        <w:t xml:space="preserve">Ms. Maloy’s </w:t>
      </w:r>
      <w:r w:rsidR="00472F55">
        <w:rPr>
          <w:b/>
          <w:szCs w:val="24"/>
        </w:rPr>
        <w:t>and Mr. Abbott’s recommendations</w:t>
      </w:r>
      <w:r w:rsidR="003C0384" w:rsidRPr="00170816">
        <w:rPr>
          <w:b/>
          <w:szCs w:val="24"/>
        </w:rPr>
        <w:t>?</w:t>
      </w:r>
    </w:p>
    <w:p w:rsidR="003C0384" w:rsidRDefault="003C0384" w:rsidP="003C0384">
      <w:pPr>
        <w:pStyle w:val="BodyTextIndent2"/>
        <w:jc w:val="both"/>
        <w:rPr>
          <w:szCs w:val="24"/>
        </w:rPr>
      </w:pPr>
      <w:r>
        <w:rPr>
          <w:szCs w:val="24"/>
        </w:rPr>
        <w:t>A.</w:t>
      </w:r>
      <w:r>
        <w:rPr>
          <w:szCs w:val="24"/>
        </w:rPr>
        <w:tab/>
        <w:t xml:space="preserve">Yes.  </w:t>
      </w:r>
      <w:r w:rsidR="00C8262C">
        <w:rPr>
          <w:szCs w:val="24"/>
        </w:rPr>
        <w:t>CEHE</w:t>
      </w:r>
      <w:r w:rsidRPr="00D95313">
        <w:rPr>
          <w:szCs w:val="24"/>
        </w:rPr>
        <w:t>’s Staff-adjusted present base revenues are $</w:t>
      </w:r>
      <w:r w:rsidR="00634542" w:rsidRPr="00D95313">
        <w:rPr>
          <w:szCs w:val="24"/>
        </w:rPr>
        <w:t>2,129,484,979</w:t>
      </w:r>
      <w:r w:rsidRPr="00D95313">
        <w:rPr>
          <w:szCs w:val="24"/>
        </w:rPr>
        <w:t>,</w:t>
      </w:r>
      <w:r w:rsidRPr="00D95313">
        <w:rPr>
          <w:rStyle w:val="FootnoteReference"/>
          <w:szCs w:val="24"/>
        </w:rPr>
        <w:footnoteReference w:id="92"/>
      </w:r>
      <w:r w:rsidRPr="00D95313">
        <w:rPr>
          <w:szCs w:val="24"/>
        </w:rPr>
        <w:t xml:space="preserve"> which is </w:t>
      </w:r>
      <w:r w:rsidR="00E2491C" w:rsidRPr="00D95313">
        <w:rPr>
          <w:szCs w:val="24"/>
        </w:rPr>
        <w:t>1.6</w:t>
      </w:r>
      <w:r w:rsidRPr="00D95313">
        <w:rPr>
          <w:szCs w:val="24"/>
        </w:rPr>
        <w:t xml:space="preserve">% greater on a percentage basis than </w:t>
      </w:r>
      <w:r w:rsidR="00472F55" w:rsidRPr="00D95313">
        <w:rPr>
          <w:szCs w:val="24"/>
        </w:rPr>
        <w:t xml:space="preserve">the Company’s calculation of present base revenues, which </w:t>
      </w:r>
      <w:r w:rsidR="00E3388B" w:rsidRPr="00D95313">
        <w:rPr>
          <w:szCs w:val="24"/>
        </w:rPr>
        <w:t>are</w:t>
      </w:r>
      <w:r w:rsidR="00472F55" w:rsidRPr="00D95313">
        <w:rPr>
          <w:szCs w:val="24"/>
        </w:rPr>
        <w:t xml:space="preserve"> </w:t>
      </w:r>
      <w:r w:rsidRPr="00D95313">
        <w:rPr>
          <w:szCs w:val="24"/>
        </w:rPr>
        <w:t>$</w:t>
      </w:r>
      <w:r w:rsidR="00634542" w:rsidRPr="00D95313">
        <w:rPr>
          <w:szCs w:val="24"/>
        </w:rPr>
        <w:t>2,095,600,469</w:t>
      </w:r>
      <w:r w:rsidRPr="00D95313">
        <w:rPr>
          <w:szCs w:val="24"/>
        </w:rPr>
        <w:t>.</w:t>
      </w:r>
      <w:r w:rsidRPr="00D95313">
        <w:rPr>
          <w:rStyle w:val="FootnoteReference"/>
          <w:szCs w:val="24"/>
        </w:rPr>
        <w:footnoteReference w:id="93"/>
      </w:r>
      <w:r w:rsidR="006907D5" w:rsidRPr="00D95313">
        <w:rPr>
          <w:szCs w:val="24"/>
        </w:rPr>
        <w:t xml:space="preserve">  The</w:t>
      </w:r>
      <w:r w:rsidR="006907D5">
        <w:rPr>
          <w:szCs w:val="24"/>
        </w:rPr>
        <w:t xml:space="preserve"> </w:t>
      </w:r>
      <w:r w:rsidR="00587A23">
        <w:rPr>
          <w:szCs w:val="24"/>
        </w:rPr>
        <w:t xml:space="preserve">supporting </w:t>
      </w:r>
      <w:r w:rsidR="006907D5">
        <w:rPr>
          <w:szCs w:val="24"/>
        </w:rPr>
        <w:t>calculations can be found in my electronic workpapers.</w:t>
      </w:r>
      <w:r w:rsidR="00F81A36">
        <w:rPr>
          <w:rStyle w:val="FootnoteReference"/>
          <w:szCs w:val="24"/>
        </w:rPr>
        <w:footnoteReference w:id="94"/>
      </w:r>
      <w:r w:rsidR="00677F1C">
        <w:rPr>
          <w:szCs w:val="24"/>
        </w:rPr>
        <w:t xml:space="preserve">  The adjusted billing units are also used in rate design.</w:t>
      </w:r>
    </w:p>
    <w:p w:rsidR="003B0C73" w:rsidRPr="003B0C73" w:rsidRDefault="003B0C73" w:rsidP="003C0384">
      <w:pPr>
        <w:pStyle w:val="BodyTextIndent2"/>
        <w:jc w:val="both"/>
        <w:rPr>
          <w:b/>
          <w:szCs w:val="24"/>
        </w:rPr>
      </w:pPr>
      <w:r w:rsidRPr="003B0C73">
        <w:rPr>
          <w:b/>
          <w:szCs w:val="24"/>
        </w:rPr>
        <w:t>Q.</w:t>
      </w:r>
      <w:r w:rsidRPr="003B0C73">
        <w:rPr>
          <w:b/>
          <w:szCs w:val="24"/>
        </w:rPr>
        <w:tab/>
        <w:t>What effect does an increase to present base revenues have on the Company’s request?</w:t>
      </w:r>
    </w:p>
    <w:p w:rsidR="00F947BC" w:rsidRDefault="003B0C73" w:rsidP="00F947BC">
      <w:pPr>
        <w:pStyle w:val="BodyTextIndent2"/>
        <w:jc w:val="both"/>
        <w:rPr>
          <w:szCs w:val="24"/>
        </w:rPr>
      </w:pPr>
      <w:r>
        <w:rPr>
          <w:szCs w:val="24"/>
        </w:rPr>
        <w:t>A.</w:t>
      </w:r>
      <w:r>
        <w:rPr>
          <w:szCs w:val="24"/>
        </w:rPr>
        <w:tab/>
      </w:r>
      <w:r w:rsidR="00B92162">
        <w:rPr>
          <w:szCs w:val="24"/>
        </w:rPr>
        <w:t>I</w:t>
      </w:r>
      <w:r>
        <w:rPr>
          <w:szCs w:val="24"/>
        </w:rPr>
        <w:t xml:space="preserve">ncreasing present </w:t>
      </w:r>
      <w:r w:rsidR="00FA32FD">
        <w:rPr>
          <w:szCs w:val="24"/>
        </w:rPr>
        <w:t xml:space="preserve">base </w:t>
      </w:r>
      <w:r>
        <w:rPr>
          <w:szCs w:val="24"/>
        </w:rPr>
        <w:t xml:space="preserve">revenues has the effect of </w:t>
      </w:r>
      <w:r w:rsidR="006018BD">
        <w:rPr>
          <w:szCs w:val="24"/>
        </w:rPr>
        <w:t>decreasing</w:t>
      </w:r>
      <w:r>
        <w:rPr>
          <w:szCs w:val="24"/>
        </w:rPr>
        <w:t xml:space="preserve"> the amount of revenue </w:t>
      </w:r>
      <w:r w:rsidR="00DC7414">
        <w:rPr>
          <w:szCs w:val="24"/>
        </w:rPr>
        <w:t xml:space="preserve">increase </w:t>
      </w:r>
      <w:r>
        <w:rPr>
          <w:szCs w:val="24"/>
        </w:rPr>
        <w:t>that otherwise would have been necessary to close the gap between present revenues and the revenue requirement.</w:t>
      </w:r>
      <w:r w:rsidR="00B92162">
        <w:rPr>
          <w:szCs w:val="24"/>
        </w:rPr>
        <w:t xml:space="preserve">  Put differently, it has the same effect </w:t>
      </w:r>
      <w:r w:rsidR="00DC7414">
        <w:rPr>
          <w:szCs w:val="24"/>
        </w:rPr>
        <w:t xml:space="preserve">on rates </w:t>
      </w:r>
      <w:r w:rsidR="00B92162">
        <w:rPr>
          <w:szCs w:val="24"/>
        </w:rPr>
        <w:t>as a disallowance</w:t>
      </w:r>
      <w:r w:rsidR="009C5B0B">
        <w:rPr>
          <w:szCs w:val="24"/>
        </w:rPr>
        <w:t xml:space="preserve"> of costs</w:t>
      </w:r>
      <w:r w:rsidR="00B92162">
        <w:rPr>
          <w:szCs w:val="24"/>
        </w:rPr>
        <w:t>.</w:t>
      </w:r>
    </w:p>
    <w:p w:rsidR="00C02D71" w:rsidRDefault="00C02D71" w:rsidP="00C02D71">
      <w:pPr>
        <w:pStyle w:val="BodyTextIndent2"/>
        <w:suppressLineNumbers/>
        <w:jc w:val="both"/>
        <w:rPr>
          <w:b/>
          <w:szCs w:val="24"/>
        </w:rPr>
      </w:pPr>
    </w:p>
    <w:p w:rsidR="00C02D71" w:rsidRDefault="00C02D71" w:rsidP="00C02D71">
      <w:pPr>
        <w:pStyle w:val="BodyTextIndent2"/>
        <w:suppressLineNumbers/>
        <w:jc w:val="both"/>
        <w:rPr>
          <w:b/>
          <w:szCs w:val="24"/>
        </w:rPr>
      </w:pPr>
    </w:p>
    <w:p w:rsidR="003C0384" w:rsidRPr="00170816" w:rsidRDefault="003C0384" w:rsidP="003C0384">
      <w:pPr>
        <w:pStyle w:val="BodyTextIndent2"/>
        <w:jc w:val="both"/>
        <w:rPr>
          <w:b/>
          <w:szCs w:val="24"/>
        </w:rPr>
      </w:pPr>
      <w:r w:rsidRPr="00170816">
        <w:rPr>
          <w:b/>
          <w:szCs w:val="24"/>
        </w:rPr>
        <w:t>Q.</w:t>
      </w:r>
      <w:r w:rsidRPr="00170816">
        <w:rPr>
          <w:b/>
          <w:szCs w:val="24"/>
        </w:rPr>
        <w:tab/>
        <w:t xml:space="preserve">Have you calculated </w:t>
      </w:r>
      <w:r w:rsidR="00C8262C">
        <w:rPr>
          <w:b/>
          <w:szCs w:val="24"/>
        </w:rPr>
        <w:t>CEHE</w:t>
      </w:r>
      <w:r w:rsidRPr="00170816">
        <w:rPr>
          <w:b/>
          <w:szCs w:val="24"/>
        </w:rPr>
        <w:t>’s retail revenue differential?</w:t>
      </w:r>
    </w:p>
    <w:p w:rsidR="003C0384" w:rsidRDefault="003C0384" w:rsidP="003C0384">
      <w:pPr>
        <w:pStyle w:val="BodyTextIndent2"/>
        <w:jc w:val="both"/>
        <w:rPr>
          <w:szCs w:val="24"/>
        </w:rPr>
      </w:pPr>
      <w:r>
        <w:rPr>
          <w:szCs w:val="24"/>
        </w:rPr>
        <w:t>A.</w:t>
      </w:r>
      <w:r>
        <w:rPr>
          <w:szCs w:val="24"/>
        </w:rPr>
        <w:tab/>
      </w:r>
      <w:r w:rsidRPr="00FA32FD">
        <w:rPr>
          <w:szCs w:val="24"/>
        </w:rPr>
        <w:t xml:space="preserve">Yes.  Subtracting </w:t>
      </w:r>
      <w:r w:rsidR="00C8262C">
        <w:rPr>
          <w:szCs w:val="24"/>
        </w:rPr>
        <w:t>CEHE</w:t>
      </w:r>
      <w:r w:rsidRPr="00FA32FD">
        <w:rPr>
          <w:szCs w:val="24"/>
        </w:rPr>
        <w:t>’s retail base revenue requirement of $</w:t>
      </w:r>
      <w:r w:rsidR="00FA32FD" w:rsidRPr="00FA32FD">
        <w:rPr>
          <w:szCs w:val="24"/>
        </w:rPr>
        <w:t>2,171,408</w:t>
      </w:r>
      <w:r w:rsidR="002B3A57" w:rsidRPr="00FA32FD">
        <w:rPr>
          <w:szCs w:val="24"/>
        </w:rPr>
        <w:t>,</w:t>
      </w:r>
      <w:r w:rsidR="00FA32FD" w:rsidRPr="00FA32FD">
        <w:rPr>
          <w:szCs w:val="24"/>
        </w:rPr>
        <w:t>898</w:t>
      </w:r>
      <w:r w:rsidRPr="00FA32FD">
        <w:rPr>
          <w:szCs w:val="24"/>
        </w:rPr>
        <w:t xml:space="preserve"> from its retail present base revenues of </w:t>
      </w:r>
      <w:r w:rsidR="002B3A57" w:rsidRPr="00FA32FD">
        <w:rPr>
          <w:szCs w:val="24"/>
        </w:rPr>
        <w:lastRenderedPageBreak/>
        <w:t xml:space="preserve">$2,129,484,979 </w:t>
      </w:r>
      <w:r w:rsidRPr="00FA32FD">
        <w:rPr>
          <w:szCs w:val="24"/>
        </w:rPr>
        <w:t xml:space="preserve">results in a revenue </w:t>
      </w:r>
      <w:r w:rsidR="00DB6C16" w:rsidRPr="00FA32FD">
        <w:rPr>
          <w:szCs w:val="24"/>
        </w:rPr>
        <w:t>shortfall</w:t>
      </w:r>
      <w:r w:rsidRPr="00FA32FD">
        <w:rPr>
          <w:szCs w:val="24"/>
        </w:rPr>
        <w:t xml:space="preserve"> of $</w:t>
      </w:r>
      <w:r w:rsidR="00FA32FD" w:rsidRPr="00FA32FD">
        <w:rPr>
          <w:szCs w:val="24"/>
        </w:rPr>
        <w:t>40,923,919</w:t>
      </w:r>
      <w:r w:rsidRPr="00FA32FD">
        <w:rPr>
          <w:szCs w:val="24"/>
        </w:rPr>
        <w:t xml:space="preserve">.   On an overall basis, </w:t>
      </w:r>
      <w:r w:rsidR="00C8262C">
        <w:rPr>
          <w:szCs w:val="24"/>
        </w:rPr>
        <w:t>CEHE</w:t>
      </w:r>
      <w:r w:rsidRPr="00FA32FD">
        <w:rPr>
          <w:szCs w:val="24"/>
        </w:rPr>
        <w:t xml:space="preserve">’s retail base revenues must be </w:t>
      </w:r>
      <w:r w:rsidR="00DB6C16" w:rsidRPr="00FA32FD">
        <w:rPr>
          <w:szCs w:val="24"/>
        </w:rPr>
        <w:t>increased</w:t>
      </w:r>
      <w:r w:rsidRPr="00FA32FD">
        <w:rPr>
          <w:szCs w:val="24"/>
        </w:rPr>
        <w:t xml:space="preserve"> by </w:t>
      </w:r>
      <w:r w:rsidR="00201FEF" w:rsidRPr="00FA32FD">
        <w:rPr>
          <w:szCs w:val="24"/>
        </w:rPr>
        <w:t>$4</w:t>
      </w:r>
      <w:r w:rsidR="00FA32FD" w:rsidRPr="00FA32FD">
        <w:rPr>
          <w:szCs w:val="24"/>
        </w:rPr>
        <w:t>0,923,919</w:t>
      </w:r>
      <w:r w:rsidRPr="00FA32FD">
        <w:rPr>
          <w:szCs w:val="24"/>
        </w:rPr>
        <w:t xml:space="preserve">, or </w:t>
      </w:r>
      <w:r w:rsidR="00201FEF" w:rsidRPr="00FA32FD">
        <w:rPr>
          <w:szCs w:val="24"/>
        </w:rPr>
        <w:t>1.9</w:t>
      </w:r>
      <w:r w:rsidRPr="00FA32FD">
        <w:rPr>
          <w:szCs w:val="24"/>
        </w:rPr>
        <w:t>% on a</w:t>
      </w:r>
      <w:r>
        <w:rPr>
          <w:szCs w:val="24"/>
        </w:rPr>
        <w:t xml:space="preserve"> percentage basis,</w:t>
      </w:r>
      <w:r w:rsidRPr="00A33A40">
        <w:rPr>
          <w:szCs w:val="24"/>
        </w:rPr>
        <w:t xml:space="preserve"> to grant</w:t>
      </w:r>
      <w:r>
        <w:rPr>
          <w:szCs w:val="24"/>
        </w:rPr>
        <w:t xml:space="preserve"> </w:t>
      </w:r>
      <w:r w:rsidR="00C8262C">
        <w:rPr>
          <w:szCs w:val="24"/>
        </w:rPr>
        <w:t>CEHE</w:t>
      </w:r>
      <w:r>
        <w:rPr>
          <w:szCs w:val="24"/>
        </w:rPr>
        <w:t xml:space="preserve"> a reasonable opportunity to recover its </w:t>
      </w:r>
      <w:r w:rsidR="00356112">
        <w:rPr>
          <w:szCs w:val="24"/>
        </w:rPr>
        <w:t xml:space="preserve">retail </w:t>
      </w:r>
      <w:r>
        <w:rPr>
          <w:szCs w:val="24"/>
        </w:rPr>
        <w:t>costs and earn a fair return for shareholders.</w:t>
      </w:r>
    </w:p>
    <w:p w:rsidR="003C0384" w:rsidRDefault="003C0384" w:rsidP="00E3388B">
      <w:pPr>
        <w:pStyle w:val="BodyTextIndent2"/>
        <w:ind w:firstLine="720"/>
        <w:jc w:val="both"/>
        <w:rPr>
          <w:szCs w:val="24"/>
        </w:rPr>
      </w:pPr>
      <w:r>
        <w:rPr>
          <w:szCs w:val="24"/>
        </w:rPr>
        <w:t xml:space="preserve">In </w:t>
      </w:r>
      <w:r w:rsidRPr="00AC29F7">
        <w:rPr>
          <w:szCs w:val="24"/>
        </w:rPr>
        <w:t xml:space="preserve">comparison, in this proceeding </w:t>
      </w:r>
      <w:r w:rsidR="00C8262C">
        <w:rPr>
          <w:szCs w:val="24"/>
        </w:rPr>
        <w:t>CEHE</w:t>
      </w:r>
      <w:r w:rsidRPr="00AC29F7">
        <w:rPr>
          <w:szCs w:val="24"/>
        </w:rPr>
        <w:t xml:space="preserve"> requests retail base revenues of $</w:t>
      </w:r>
      <w:r w:rsidR="00356112" w:rsidRPr="00AC29F7">
        <w:rPr>
          <w:szCs w:val="24"/>
        </w:rPr>
        <w:t>2,282,204,680</w:t>
      </w:r>
      <w:r w:rsidRPr="00AC29F7">
        <w:rPr>
          <w:szCs w:val="24"/>
        </w:rPr>
        <w:t>, which represents a requested increase of $</w:t>
      </w:r>
      <w:r w:rsidR="00F749CF" w:rsidRPr="00AC29F7">
        <w:rPr>
          <w:szCs w:val="24"/>
        </w:rPr>
        <w:t>1</w:t>
      </w:r>
      <w:r w:rsidR="008009DF" w:rsidRPr="00AC29F7">
        <w:rPr>
          <w:szCs w:val="24"/>
        </w:rPr>
        <w:t>86,603,209</w:t>
      </w:r>
      <w:r w:rsidRPr="00AC29F7">
        <w:rPr>
          <w:szCs w:val="24"/>
        </w:rPr>
        <w:t xml:space="preserve">, or </w:t>
      </w:r>
      <w:r w:rsidR="001B462A">
        <w:rPr>
          <w:szCs w:val="24"/>
        </w:rPr>
        <w:t>8.9</w:t>
      </w:r>
      <w:r w:rsidRPr="00AC29F7">
        <w:rPr>
          <w:szCs w:val="24"/>
        </w:rPr>
        <w:t>% on a percentage basis, over present base revenues</w:t>
      </w:r>
      <w:r w:rsidR="00854D25" w:rsidRPr="00AC29F7">
        <w:rPr>
          <w:szCs w:val="24"/>
        </w:rPr>
        <w:t xml:space="preserve"> of $2,095,600,469</w:t>
      </w:r>
      <w:r w:rsidRPr="00AC29F7">
        <w:rPr>
          <w:szCs w:val="24"/>
        </w:rPr>
        <w:t>.</w:t>
      </w:r>
      <w:r w:rsidRPr="00AC29F7">
        <w:rPr>
          <w:rStyle w:val="FootnoteReference"/>
          <w:szCs w:val="24"/>
        </w:rPr>
        <w:footnoteReference w:id="95"/>
      </w:r>
    </w:p>
    <w:p w:rsidR="00F947BC" w:rsidRDefault="00F947BC" w:rsidP="00E3388B">
      <w:pPr>
        <w:pStyle w:val="BodyTextIndent2"/>
        <w:ind w:firstLine="720"/>
        <w:jc w:val="both"/>
        <w:rPr>
          <w:szCs w:val="24"/>
        </w:rPr>
      </w:pPr>
      <w:r>
        <w:rPr>
          <w:szCs w:val="24"/>
        </w:rPr>
        <w:t>The effects of Staff’s adjustments can be seen in the following table:</w:t>
      </w:r>
    </w:p>
    <w:p w:rsidR="008D0883" w:rsidRDefault="008D0883" w:rsidP="008D0883">
      <w:pPr>
        <w:pStyle w:val="BodyTextIndent2"/>
        <w:jc w:val="both"/>
        <w:rPr>
          <w:szCs w:val="24"/>
        </w:rPr>
      </w:pPr>
      <w:r>
        <w:rPr>
          <w:szCs w:val="24"/>
        </w:rPr>
        <w:tab/>
      </w:r>
      <w:r>
        <w:rPr>
          <w:szCs w:val="24"/>
        </w:rPr>
        <w:tab/>
      </w:r>
      <w:r w:rsidR="00D35DAF" w:rsidRPr="00D35DAF">
        <w:rPr>
          <w:szCs w:val="24"/>
        </w:rPr>
        <w:t>Table BTM-11</w:t>
      </w:r>
      <w:r w:rsidR="00101663">
        <w:rPr>
          <w:szCs w:val="24"/>
        </w:rPr>
        <w:tab/>
      </w:r>
      <w:r w:rsidR="00101663">
        <w:rPr>
          <w:szCs w:val="24"/>
        </w:rPr>
        <w:tab/>
        <w:t>Retail Base Revenue Differential</w:t>
      </w:r>
    </w:p>
    <w:p w:rsidR="00F947BC" w:rsidRPr="00E3388B" w:rsidRDefault="00AC29F7" w:rsidP="00B72FB0">
      <w:pPr>
        <w:pStyle w:val="BodyTextIndent2"/>
        <w:ind w:left="0" w:firstLine="720"/>
        <w:jc w:val="center"/>
        <w:rPr>
          <w:szCs w:val="24"/>
        </w:rPr>
      </w:pPr>
      <w:r w:rsidRPr="00AC29F7">
        <w:rPr>
          <w:noProof/>
        </w:rPr>
        <w:drawing>
          <wp:inline distT="0" distB="0" distL="0" distR="0">
            <wp:extent cx="4450080" cy="120840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0080" cy="1208405"/>
                    </a:xfrm>
                    <a:prstGeom prst="rect">
                      <a:avLst/>
                    </a:prstGeom>
                    <a:noFill/>
                    <a:ln>
                      <a:noFill/>
                    </a:ln>
                  </pic:spPr>
                </pic:pic>
              </a:graphicData>
            </a:graphic>
          </wp:inline>
        </w:drawing>
      </w:r>
    </w:p>
    <w:p w:rsidR="008573A9" w:rsidRDefault="00B6735C" w:rsidP="000B56C2">
      <w:pPr>
        <w:pStyle w:val="Heading1"/>
        <w:numPr>
          <w:ilvl w:val="0"/>
          <w:numId w:val="1"/>
        </w:numPr>
        <w:spacing w:line="480" w:lineRule="auto"/>
        <w:jc w:val="both"/>
        <w:rPr>
          <w:sz w:val="24"/>
          <w:szCs w:val="24"/>
        </w:rPr>
      </w:pPr>
      <w:bookmarkStart w:id="24" w:name="_Toc11215212"/>
      <w:r>
        <w:rPr>
          <w:sz w:val="24"/>
          <w:szCs w:val="24"/>
        </w:rPr>
        <w:t xml:space="preserve">OVERALL </w:t>
      </w:r>
      <w:r w:rsidR="00A54316">
        <w:rPr>
          <w:sz w:val="24"/>
          <w:szCs w:val="24"/>
        </w:rPr>
        <w:t xml:space="preserve">BASE </w:t>
      </w:r>
      <w:r>
        <w:rPr>
          <w:sz w:val="24"/>
          <w:szCs w:val="24"/>
        </w:rPr>
        <w:t>REVENUE CHANGE</w:t>
      </w:r>
      <w:bookmarkEnd w:id="24"/>
    </w:p>
    <w:p w:rsidR="00B6735C" w:rsidRDefault="00B6735C" w:rsidP="009B7944">
      <w:pPr>
        <w:spacing w:line="480" w:lineRule="auto"/>
        <w:ind w:left="720" w:hanging="720"/>
        <w:jc w:val="both"/>
        <w:rPr>
          <w:b/>
          <w:sz w:val="24"/>
          <w:szCs w:val="24"/>
        </w:rPr>
      </w:pPr>
      <w:r w:rsidRPr="00B6735C">
        <w:rPr>
          <w:b/>
          <w:sz w:val="24"/>
          <w:szCs w:val="24"/>
        </w:rPr>
        <w:t>Q.</w:t>
      </w:r>
      <w:r w:rsidRPr="00B6735C">
        <w:rPr>
          <w:b/>
          <w:sz w:val="24"/>
          <w:szCs w:val="24"/>
        </w:rPr>
        <w:tab/>
      </w:r>
      <w:r>
        <w:rPr>
          <w:b/>
          <w:sz w:val="24"/>
          <w:szCs w:val="24"/>
        </w:rPr>
        <w:t>On an overall basis, what change in base revenues is supported by Staff’s analysis</w:t>
      </w:r>
      <w:r w:rsidR="00286092">
        <w:rPr>
          <w:b/>
          <w:sz w:val="24"/>
          <w:szCs w:val="24"/>
        </w:rPr>
        <w:t>?</w:t>
      </w:r>
    </w:p>
    <w:p w:rsidR="00B6735C" w:rsidRDefault="00B6735C" w:rsidP="009B7944">
      <w:pPr>
        <w:spacing w:line="480" w:lineRule="auto"/>
        <w:ind w:left="720" w:hanging="720"/>
        <w:jc w:val="both"/>
        <w:rPr>
          <w:sz w:val="24"/>
          <w:szCs w:val="24"/>
        </w:rPr>
      </w:pPr>
      <w:r w:rsidRPr="00B6735C">
        <w:rPr>
          <w:sz w:val="24"/>
          <w:szCs w:val="24"/>
        </w:rPr>
        <w:t>A.</w:t>
      </w:r>
      <w:r w:rsidRPr="00B6735C">
        <w:rPr>
          <w:sz w:val="24"/>
          <w:szCs w:val="24"/>
        </w:rPr>
        <w:tab/>
      </w:r>
      <w:r>
        <w:rPr>
          <w:sz w:val="24"/>
          <w:szCs w:val="24"/>
        </w:rPr>
        <w:t xml:space="preserve">On an overall basis, </w:t>
      </w:r>
      <w:r w:rsidR="009B7944">
        <w:rPr>
          <w:sz w:val="24"/>
          <w:szCs w:val="24"/>
        </w:rPr>
        <w:t xml:space="preserve">Staff finds that the Company’s revenues must be decreased by </w:t>
      </w:r>
      <w:r w:rsidR="00B36844">
        <w:rPr>
          <w:sz w:val="24"/>
          <w:szCs w:val="24"/>
        </w:rPr>
        <w:t>$11,120,997</w:t>
      </w:r>
      <w:r w:rsidR="009B7944">
        <w:rPr>
          <w:sz w:val="24"/>
          <w:szCs w:val="24"/>
        </w:rPr>
        <w:t xml:space="preserve">, </w:t>
      </w:r>
      <w:r w:rsidR="00266019">
        <w:rPr>
          <w:sz w:val="24"/>
          <w:szCs w:val="24"/>
        </w:rPr>
        <w:t xml:space="preserve">calculated </w:t>
      </w:r>
      <w:r w:rsidR="009B7944">
        <w:rPr>
          <w:sz w:val="24"/>
          <w:szCs w:val="24"/>
        </w:rPr>
        <w:t>as follows:</w:t>
      </w:r>
    </w:p>
    <w:p w:rsidR="00C02D71" w:rsidRDefault="00C02D71" w:rsidP="00C02D71">
      <w:pPr>
        <w:suppressLineNumbers/>
        <w:spacing w:line="480" w:lineRule="auto"/>
        <w:ind w:left="720" w:hanging="720"/>
        <w:jc w:val="both"/>
        <w:rPr>
          <w:sz w:val="24"/>
          <w:szCs w:val="24"/>
        </w:rPr>
      </w:pPr>
    </w:p>
    <w:p w:rsidR="009B7944" w:rsidRPr="00B6735C" w:rsidRDefault="009B7944" w:rsidP="009B7944">
      <w:pPr>
        <w:spacing w:line="480" w:lineRule="auto"/>
        <w:ind w:left="720" w:hanging="720"/>
        <w:jc w:val="both"/>
        <w:rPr>
          <w:sz w:val="24"/>
          <w:szCs w:val="24"/>
        </w:rPr>
      </w:pPr>
      <w:r w:rsidRPr="00D35DAF">
        <w:rPr>
          <w:sz w:val="24"/>
          <w:szCs w:val="24"/>
        </w:rPr>
        <w:lastRenderedPageBreak/>
        <w:t xml:space="preserve">Table </w:t>
      </w:r>
      <w:r w:rsidR="00D35DAF" w:rsidRPr="00D35DAF">
        <w:rPr>
          <w:sz w:val="24"/>
          <w:szCs w:val="24"/>
        </w:rPr>
        <w:t>BTM-12</w:t>
      </w:r>
      <w:r>
        <w:rPr>
          <w:sz w:val="24"/>
          <w:szCs w:val="24"/>
        </w:rPr>
        <w:tab/>
      </w:r>
      <w:r>
        <w:rPr>
          <w:sz w:val="24"/>
          <w:szCs w:val="24"/>
        </w:rPr>
        <w:tab/>
      </w:r>
      <w:r w:rsidR="00551DF5">
        <w:rPr>
          <w:sz w:val="24"/>
          <w:szCs w:val="24"/>
        </w:rPr>
        <w:t xml:space="preserve">Staff’s Recommended </w:t>
      </w:r>
      <w:r>
        <w:rPr>
          <w:sz w:val="24"/>
          <w:szCs w:val="24"/>
        </w:rPr>
        <w:t>Overall Change in Revenues</w:t>
      </w:r>
      <w:r>
        <w:rPr>
          <w:sz w:val="24"/>
          <w:szCs w:val="24"/>
        </w:rPr>
        <w:tab/>
      </w:r>
    </w:p>
    <w:tbl>
      <w:tblPr>
        <w:tblStyle w:val="TableGrid"/>
        <w:tblW w:w="0" w:type="auto"/>
        <w:tblInd w:w="-95" w:type="dxa"/>
        <w:tblLayout w:type="fixed"/>
        <w:tblLook w:val="04A0" w:firstRow="1" w:lastRow="0" w:firstColumn="1" w:lastColumn="0" w:noHBand="0" w:noVBand="1"/>
      </w:tblPr>
      <w:tblGrid>
        <w:gridCol w:w="2520"/>
        <w:gridCol w:w="1620"/>
        <w:gridCol w:w="1800"/>
        <w:gridCol w:w="1620"/>
        <w:gridCol w:w="1165"/>
      </w:tblGrid>
      <w:tr w:rsidR="009B7944" w:rsidTr="00695E2B">
        <w:tc>
          <w:tcPr>
            <w:tcW w:w="2520" w:type="dxa"/>
            <w:vAlign w:val="bottom"/>
          </w:tcPr>
          <w:p w:rsidR="009B7944" w:rsidRDefault="009B7944" w:rsidP="009B7944">
            <w:pPr>
              <w:jc w:val="center"/>
              <w:rPr>
                <w:sz w:val="24"/>
                <w:szCs w:val="24"/>
              </w:rPr>
            </w:pPr>
          </w:p>
        </w:tc>
        <w:tc>
          <w:tcPr>
            <w:tcW w:w="1620" w:type="dxa"/>
            <w:vAlign w:val="bottom"/>
          </w:tcPr>
          <w:p w:rsidR="009B7944" w:rsidRDefault="009B7944" w:rsidP="009B7944">
            <w:pPr>
              <w:jc w:val="center"/>
              <w:rPr>
                <w:sz w:val="24"/>
                <w:szCs w:val="24"/>
              </w:rPr>
            </w:pPr>
            <w:r>
              <w:rPr>
                <w:sz w:val="24"/>
                <w:szCs w:val="24"/>
              </w:rPr>
              <w:t>Present Base Revenues</w:t>
            </w:r>
            <w:r w:rsidR="00695E2B">
              <w:rPr>
                <w:sz w:val="24"/>
                <w:szCs w:val="24"/>
              </w:rPr>
              <w:t>-$s</w:t>
            </w:r>
          </w:p>
        </w:tc>
        <w:tc>
          <w:tcPr>
            <w:tcW w:w="1800" w:type="dxa"/>
            <w:vAlign w:val="bottom"/>
          </w:tcPr>
          <w:p w:rsidR="009B7944" w:rsidRDefault="009B7944" w:rsidP="009B7944">
            <w:pPr>
              <w:jc w:val="center"/>
              <w:rPr>
                <w:sz w:val="24"/>
                <w:szCs w:val="24"/>
              </w:rPr>
            </w:pPr>
            <w:r>
              <w:rPr>
                <w:sz w:val="24"/>
                <w:szCs w:val="24"/>
              </w:rPr>
              <w:t>Base Revenue Requirement</w:t>
            </w:r>
            <w:r w:rsidR="00695E2B">
              <w:rPr>
                <w:sz w:val="24"/>
                <w:szCs w:val="24"/>
              </w:rPr>
              <w:t>-$s</w:t>
            </w:r>
          </w:p>
        </w:tc>
        <w:tc>
          <w:tcPr>
            <w:tcW w:w="1620" w:type="dxa"/>
            <w:vAlign w:val="bottom"/>
          </w:tcPr>
          <w:p w:rsidR="009B7944" w:rsidRDefault="009B7944" w:rsidP="009B7944">
            <w:pPr>
              <w:jc w:val="center"/>
              <w:rPr>
                <w:sz w:val="24"/>
                <w:szCs w:val="24"/>
              </w:rPr>
            </w:pPr>
            <w:r>
              <w:rPr>
                <w:sz w:val="24"/>
                <w:szCs w:val="24"/>
              </w:rPr>
              <w:t>Change-$</w:t>
            </w:r>
          </w:p>
        </w:tc>
        <w:tc>
          <w:tcPr>
            <w:tcW w:w="1165" w:type="dxa"/>
            <w:vAlign w:val="bottom"/>
          </w:tcPr>
          <w:p w:rsidR="009B7944" w:rsidRDefault="009B7944" w:rsidP="009B7944">
            <w:pPr>
              <w:jc w:val="center"/>
              <w:rPr>
                <w:sz w:val="24"/>
                <w:szCs w:val="24"/>
              </w:rPr>
            </w:pPr>
            <w:r>
              <w:rPr>
                <w:sz w:val="24"/>
                <w:szCs w:val="24"/>
              </w:rPr>
              <w:t>Change-%</w:t>
            </w:r>
          </w:p>
        </w:tc>
      </w:tr>
      <w:tr w:rsidR="009B7944" w:rsidTr="00695E2B">
        <w:tc>
          <w:tcPr>
            <w:tcW w:w="2520" w:type="dxa"/>
            <w:vAlign w:val="bottom"/>
          </w:tcPr>
          <w:p w:rsidR="009B7944" w:rsidRDefault="009B7944" w:rsidP="009B7944">
            <w:pPr>
              <w:rPr>
                <w:sz w:val="24"/>
                <w:szCs w:val="24"/>
              </w:rPr>
            </w:pPr>
            <w:r>
              <w:rPr>
                <w:sz w:val="24"/>
                <w:szCs w:val="24"/>
              </w:rPr>
              <w:t>Wholesale transmission</w:t>
            </w:r>
          </w:p>
        </w:tc>
        <w:tc>
          <w:tcPr>
            <w:tcW w:w="1620" w:type="dxa"/>
            <w:vAlign w:val="bottom"/>
          </w:tcPr>
          <w:p w:rsidR="009B7944" w:rsidRDefault="00695E2B" w:rsidP="00695E2B">
            <w:pPr>
              <w:jc w:val="right"/>
              <w:rPr>
                <w:sz w:val="24"/>
                <w:szCs w:val="24"/>
              </w:rPr>
            </w:pPr>
            <w:r>
              <w:rPr>
                <w:sz w:val="24"/>
                <w:szCs w:val="24"/>
              </w:rPr>
              <w:t>388,968,021</w:t>
            </w:r>
          </w:p>
        </w:tc>
        <w:tc>
          <w:tcPr>
            <w:tcW w:w="1800" w:type="dxa"/>
            <w:vAlign w:val="bottom"/>
          </w:tcPr>
          <w:p w:rsidR="009B7944" w:rsidRDefault="00695E2B" w:rsidP="00695E2B">
            <w:pPr>
              <w:jc w:val="right"/>
              <w:rPr>
                <w:sz w:val="24"/>
                <w:szCs w:val="24"/>
              </w:rPr>
            </w:pPr>
            <w:r>
              <w:rPr>
                <w:sz w:val="24"/>
                <w:szCs w:val="24"/>
              </w:rPr>
              <w:t>336,923,105</w:t>
            </w:r>
          </w:p>
        </w:tc>
        <w:tc>
          <w:tcPr>
            <w:tcW w:w="1620" w:type="dxa"/>
            <w:vAlign w:val="bottom"/>
          </w:tcPr>
          <w:p w:rsidR="009B7944" w:rsidRDefault="00A56670" w:rsidP="00695E2B">
            <w:pPr>
              <w:jc w:val="right"/>
              <w:rPr>
                <w:sz w:val="24"/>
                <w:szCs w:val="24"/>
              </w:rPr>
            </w:pPr>
            <w:r>
              <w:rPr>
                <w:sz w:val="24"/>
                <w:szCs w:val="24"/>
              </w:rPr>
              <w:t>-$52,044,916</w:t>
            </w:r>
          </w:p>
        </w:tc>
        <w:tc>
          <w:tcPr>
            <w:tcW w:w="1165" w:type="dxa"/>
            <w:vAlign w:val="bottom"/>
          </w:tcPr>
          <w:p w:rsidR="009B7944" w:rsidRDefault="00A56670" w:rsidP="00695E2B">
            <w:pPr>
              <w:jc w:val="right"/>
              <w:rPr>
                <w:sz w:val="24"/>
                <w:szCs w:val="24"/>
              </w:rPr>
            </w:pPr>
            <w:r>
              <w:rPr>
                <w:sz w:val="24"/>
                <w:szCs w:val="24"/>
              </w:rPr>
              <w:t>-13</w:t>
            </w:r>
            <w:r w:rsidR="00695E2B">
              <w:rPr>
                <w:sz w:val="24"/>
                <w:szCs w:val="24"/>
              </w:rPr>
              <w:t>.</w:t>
            </w:r>
            <w:r>
              <w:rPr>
                <w:sz w:val="24"/>
                <w:szCs w:val="24"/>
              </w:rPr>
              <w:t>4</w:t>
            </w:r>
          </w:p>
        </w:tc>
      </w:tr>
      <w:tr w:rsidR="009B7944" w:rsidTr="00695E2B">
        <w:tc>
          <w:tcPr>
            <w:tcW w:w="2520" w:type="dxa"/>
            <w:vAlign w:val="bottom"/>
          </w:tcPr>
          <w:p w:rsidR="009B7944" w:rsidRDefault="009B7944" w:rsidP="009B7944">
            <w:pPr>
              <w:rPr>
                <w:sz w:val="24"/>
                <w:szCs w:val="24"/>
              </w:rPr>
            </w:pPr>
            <w:r>
              <w:rPr>
                <w:sz w:val="24"/>
                <w:szCs w:val="24"/>
              </w:rPr>
              <w:t>Retail Delivery</w:t>
            </w:r>
          </w:p>
        </w:tc>
        <w:tc>
          <w:tcPr>
            <w:tcW w:w="1620" w:type="dxa"/>
            <w:vAlign w:val="bottom"/>
          </w:tcPr>
          <w:p w:rsidR="009B7944" w:rsidRDefault="00695E2B" w:rsidP="00695E2B">
            <w:pPr>
              <w:jc w:val="right"/>
              <w:rPr>
                <w:sz w:val="24"/>
                <w:szCs w:val="24"/>
              </w:rPr>
            </w:pPr>
            <w:r w:rsidRPr="00695E2B">
              <w:rPr>
                <w:sz w:val="24"/>
                <w:szCs w:val="24"/>
              </w:rPr>
              <w:t>2,129,484,979</w:t>
            </w:r>
          </w:p>
        </w:tc>
        <w:tc>
          <w:tcPr>
            <w:tcW w:w="1800" w:type="dxa"/>
            <w:vAlign w:val="bottom"/>
          </w:tcPr>
          <w:p w:rsidR="009B7944" w:rsidRDefault="00695E2B" w:rsidP="00695E2B">
            <w:pPr>
              <w:jc w:val="right"/>
              <w:rPr>
                <w:sz w:val="24"/>
                <w:szCs w:val="24"/>
              </w:rPr>
            </w:pPr>
            <w:r>
              <w:rPr>
                <w:sz w:val="24"/>
                <w:szCs w:val="24"/>
              </w:rPr>
              <w:t>2,170,408,898</w:t>
            </w:r>
          </w:p>
        </w:tc>
        <w:tc>
          <w:tcPr>
            <w:tcW w:w="1620" w:type="dxa"/>
            <w:vAlign w:val="bottom"/>
          </w:tcPr>
          <w:p w:rsidR="009B7944" w:rsidRDefault="00DE26FA" w:rsidP="00695E2B">
            <w:pPr>
              <w:jc w:val="right"/>
              <w:rPr>
                <w:sz w:val="24"/>
                <w:szCs w:val="24"/>
              </w:rPr>
            </w:pPr>
            <w:r>
              <w:rPr>
                <w:sz w:val="24"/>
                <w:szCs w:val="24"/>
              </w:rPr>
              <w:t>+$40,923,919</w:t>
            </w:r>
          </w:p>
        </w:tc>
        <w:tc>
          <w:tcPr>
            <w:tcW w:w="1165" w:type="dxa"/>
            <w:vAlign w:val="bottom"/>
          </w:tcPr>
          <w:p w:rsidR="009B7944" w:rsidRDefault="00023EA5" w:rsidP="00695E2B">
            <w:pPr>
              <w:jc w:val="right"/>
              <w:rPr>
                <w:sz w:val="24"/>
                <w:szCs w:val="24"/>
              </w:rPr>
            </w:pPr>
            <w:r>
              <w:rPr>
                <w:sz w:val="24"/>
                <w:szCs w:val="24"/>
              </w:rPr>
              <w:t>+1.9</w:t>
            </w:r>
          </w:p>
        </w:tc>
      </w:tr>
      <w:tr w:rsidR="009B7944" w:rsidTr="00695E2B">
        <w:tc>
          <w:tcPr>
            <w:tcW w:w="2520" w:type="dxa"/>
            <w:vAlign w:val="bottom"/>
          </w:tcPr>
          <w:p w:rsidR="009B7944" w:rsidRDefault="009B7944" w:rsidP="009B7944">
            <w:pPr>
              <w:rPr>
                <w:sz w:val="24"/>
                <w:szCs w:val="24"/>
              </w:rPr>
            </w:pPr>
            <w:r>
              <w:rPr>
                <w:sz w:val="24"/>
                <w:szCs w:val="24"/>
              </w:rPr>
              <w:t>TOTAL</w:t>
            </w:r>
          </w:p>
        </w:tc>
        <w:tc>
          <w:tcPr>
            <w:tcW w:w="1620" w:type="dxa"/>
            <w:vAlign w:val="bottom"/>
          </w:tcPr>
          <w:p w:rsidR="009B7944" w:rsidRDefault="001B462A" w:rsidP="00695E2B">
            <w:pPr>
              <w:jc w:val="right"/>
              <w:rPr>
                <w:sz w:val="24"/>
                <w:szCs w:val="24"/>
              </w:rPr>
            </w:pPr>
            <w:r>
              <w:rPr>
                <w:sz w:val="24"/>
                <w:szCs w:val="24"/>
              </w:rPr>
              <w:t>2,518,453,000</w:t>
            </w:r>
          </w:p>
        </w:tc>
        <w:tc>
          <w:tcPr>
            <w:tcW w:w="1800" w:type="dxa"/>
            <w:vAlign w:val="bottom"/>
          </w:tcPr>
          <w:p w:rsidR="009B7944" w:rsidRDefault="002548B9" w:rsidP="00695E2B">
            <w:pPr>
              <w:jc w:val="right"/>
              <w:rPr>
                <w:sz w:val="24"/>
                <w:szCs w:val="24"/>
              </w:rPr>
            </w:pPr>
            <w:r>
              <w:rPr>
                <w:sz w:val="24"/>
                <w:szCs w:val="24"/>
              </w:rPr>
              <w:t>2,507,332,003</w:t>
            </w:r>
          </w:p>
        </w:tc>
        <w:tc>
          <w:tcPr>
            <w:tcW w:w="1620" w:type="dxa"/>
            <w:vAlign w:val="bottom"/>
          </w:tcPr>
          <w:p w:rsidR="009B7944" w:rsidRDefault="00A56670" w:rsidP="00695E2B">
            <w:pPr>
              <w:jc w:val="right"/>
              <w:rPr>
                <w:sz w:val="24"/>
                <w:szCs w:val="24"/>
              </w:rPr>
            </w:pPr>
            <w:r>
              <w:rPr>
                <w:sz w:val="24"/>
                <w:szCs w:val="24"/>
              </w:rPr>
              <w:t>-$11,120,997</w:t>
            </w:r>
          </w:p>
        </w:tc>
        <w:tc>
          <w:tcPr>
            <w:tcW w:w="1165" w:type="dxa"/>
            <w:vAlign w:val="bottom"/>
          </w:tcPr>
          <w:p w:rsidR="009B7944" w:rsidRDefault="002548B9" w:rsidP="00695E2B">
            <w:pPr>
              <w:jc w:val="right"/>
              <w:rPr>
                <w:sz w:val="24"/>
                <w:szCs w:val="24"/>
              </w:rPr>
            </w:pPr>
            <w:r>
              <w:rPr>
                <w:sz w:val="24"/>
                <w:szCs w:val="24"/>
              </w:rPr>
              <w:t>-0.</w:t>
            </w:r>
            <w:r w:rsidR="00A56670">
              <w:rPr>
                <w:sz w:val="24"/>
                <w:szCs w:val="24"/>
              </w:rPr>
              <w:t>5</w:t>
            </w:r>
          </w:p>
        </w:tc>
      </w:tr>
    </w:tbl>
    <w:p w:rsidR="009B7944" w:rsidRPr="00B6735C" w:rsidRDefault="009B7944" w:rsidP="009B7944">
      <w:pPr>
        <w:ind w:left="720" w:hanging="720"/>
        <w:jc w:val="both"/>
        <w:rPr>
          <w:sz w:val="24"/>
          <w:szCs w:val="24"/>
        </w:rPr>
      </w:pPr>
    </w:p>
    <w:p w:rsidR="000B56C2" w:rsidRDefault="00550CEC" w:rsidP="000B56C2">
      <w:pPr>
        <w:pStyle w:val="Heading1"/>
        <w:numPr>
          <w:ilvl w:val="0"/>
          <w:numId w:val="1"/>
        </w:numPr>
        <w:spacing w:line="480" w:lineRule="auto"/>
        <w:jc w:val="both"/>
        <w:rPr>
          <w:sz w:val="24"/>
          <w:szCs w:val="24"/>
        </w:rPr>
      </w:pPr>
      <w:bookmarkStart w:id="25" w:name="_Toc11215213"/>
      <w:r>
        <w:rPr>
          <w:sz w:val="24"/>
          <w:szCs w:val="24"/>
        </w:rPr>
        <w:t xml:space="preserve">RETAIL </w:t>
      </w:r>
      <w:r w:rsidR="000B56C2">
        <w:rPr>
          <w:sz w:val="24"/>
          <w:szCs w:val="24"/>
        </w:rPr>
        <w:t>CLASS REVENUE DISTRIBUTION</w:t>
      </w:r>
      <w:bookmarkEnd w:id="25"/>
    </w:p>
    <w:p w:rsidR="00E3388B" w:rsidRPr="00E3388B" w:rsidRDefault="00E3388B" w:rsidP="00E3388B">
      <w:pPr>
        <w:spacing w:line="480" w:lineRule="auto"/>
        <w:ind w:left="720" w:hanging="720"/>
        <w:jc w:val="both"/>
        <w:rPr>
          <w:b/>
          <w:sz w:val="24"/>
          <w:szCs w:val="24"/>
        </w:rPr>
      </w:pPr>
      <w:r w:rsidRPr="00E3388B">
        <w:rPr>
          <w:b/>
          <w:sz w:val="24"/>
          <w:szCs w:val="24"/>
        </w:rPr>
        <w:t>Q.</w:t>
      </w:r>
      <w:r w:rsidRPr="00E3388B">
        <w:rPr>
          <w:b/>
          <w:sz w:val="24"/>
          <w:szCs w:val="24"/>
        </w:rPr>
        <w:tab/>
      </w:r>
      <w:r w:rsidR="007E5E48">
        <w:rPr>
          <w:b/>
          <w:sz w:val="24"/>
          <w:szCs w:val="24"/>
        </w:rPr>
        <w:t>Proceeding with the retail analysis, f</w:t>
      </w:r>
      <w:r>
        <w:rPr>
          <w:b/>
          <w:sz w:val="24"/>
          <w:szCs w:val="24"/>
        </w:rPr>
        <w:t>or each rate class, what is the difference between cost of service and revenue requirement?</w:t>
      </w:r>
    </w:p>
    <w:p w:rsidR="00884847" w:rsidRDefault="00E3388B" w:rsidP="00F80336">
      <w:pPr>
        <w:spacing w:line="480" w:lineRule="auto"/>
        <w:ind w:left="720" w:hanging="720"/>
        <w:jc w:val="both"/>
        <w:rPr>
          <w:sz w:val="24"/>
          <w:szCs w:val="24"/>
        </w:rPr>
      </w:pPr>
      <w:r>
        <w:rPr>
          <w:sz w:val="24"/>
          <w:szCs w:val="24"/>
        </w:rPr>
        <w:t>A.</w:t>
      </w:r>
      <w:r>
        <w:rPr>
          <w:sz w:val="24"/>
          <w:szCs w:val="24"/>
        </w:rPr>
        <w:tab/>
        <w:t xml:space="preserve">A class’s cost of service is the level of costs caused by that class during the Test Year, </w:t>
      </w:r>
      <w:r w:rsidR="00642AF4">
        <w:rPr>
          <w:sz w:val="24"/>
          <w:szCs w:val="24"/>
        </w:rPr>
        <w:t xml:space="preserve">as </w:t>
      </w:r>
      <w:r>
        <w:rPr>
          <w:sz w:val="24"/>
          <w:szCs w:val="24"/>
        </w:rPr>
        <w:t xml:space="preserve">measured in the cost study.  A class’s revenue requirement is the amount that a class’s rates </w:t>
      </w:r>
      <w:r w:rsidR="00642AF4">
        <w:rPr>
          <w:sz w:val="24"/>
          <w:szCs w:val="24"/>
        </w:rPr>
        <w:t>are</w:t>
      </w:r>
      <w:r>
        <w:rPr>
          <w:sz w:val="24"/>
          <w:szCs w:val="24"/>
        </w:rPr>
        <w:t xml:space="preserve"> set to recover.</w:t>
      </w:r>
      <w:r w:rsidR="00F80336">
        <w:rPr>
          <w:sz w:val="24"/>
          <w:szCs w:val="24"/>
        </w:rPr>
        <w:t xml:space="preserve">  </w:t>
      </w:r>
      <w:r w:rsidR="00884847">
        <w:rPr>
          <w:sz w:val="24"/>
          <w:szCs w:val="24"/>
        </w:rPr>
        <w:t>The step in ratemaking that determines the share of revenues to be recovered from each class is referred to as “revenue distribution.”</w:t>
      </w:r>
    </w:p>
    <w:p w:rsidR="00E3388B" w:rsidRPr="00E3388B" w:rsidRDefault="00E3388B" w:rsidP="00E3388B">
      <w:pPr>
        <w:spacing w:line="480" w:lineRule="auto"/>
        <w:ind w:left="720" w:hanging="720"/>
        <w:jc w:val="both"/>
        <w:rPr>
          <w:b/>
          <w:sz w:val="24"/>
          <w:szCs w:val="24"/>
        </w:rPr>
      </w:pPr>
      <w:r w:rsidRPr="00E3388B">
        <w:rPr>
          <w:b/>
          <w:sz w:val="24"/>
          <w:szCs w:val="24"/>
        </w:rPr>
        <w:t>Q.</w:t>
      </w:r>
      <w:r w:rsidRPr="00E3388B">
        <w:rPr>
          <w:b/>
          <w:sz w:val="24"/>
          <w:szCs w:val="24"/>
        </w:rPr>
        <w:tab/>
        <w:t xml:space="preserve">Why not just set </w:t>
      </w:r>
      <w:r w:rsidR="00D517E7">
        <w:rPr>
          <w:b/>
          <w:sz w:val="24"/>
          <w:szCs w:val="24"/>
        </w:rPr>
        <w:t>each class’s</w:t>
      </w:r>
      <w:r w:rsidRPr="00E3388B">
        <w:rPr>
          <w:b/>
          <w:sz w:val="24"/>
          <w:szCs w:val="24"/>
        </w:rPr>
        <w:t xml:space="preserve"> revenue requirement equal </w:t>
      </w:r>
      <w:r w:rsidR="00D517E7">
        <w:rPr>
          <w:b/>
          <w:sz w:val="24"/>
          <w:szCs w:val="24"/>
        </w:rPr>
        <w:t>to its</w:t>
      </w:r>
      <w:r w:rsidRPr="00E3388B">
        <w:rPr>
          <w:b/>
          <w:sz w:val="24"/>
          <w:szCs w:val="24"/>
        </w:rPr>
        <w:t xml:space="preserve"> cost of service?</w:t>
      </w:r>
    </w:p>
    <w:p w:rsidR="00E3388B" w:rsidRDefault="00E3388B" w:rsidP="00243068">
      <w:pPr>
        <w:spacing w:line="480" w:lineRule="auto"/>
        <w:ind w:left="720" w:hanging="720"/>
        <w:jc w:val="both"/>
        <w:rPr>
          <w:sz w:val="24"/>
          <w:szCs w:val="24"/>
        </w:rPr>
      </w:pPr>
      <w:r>
        <w:rPr>
          <w:sz w:val="24"/>
          <w:szCs w:val="24"/>
        </w:rPr>
        <w:t>A.</w:t>
      </w:r>
      <w:r>
        <w:rPr>
          <w:sz w:val="24"/>
          <w:szCs w:val="24"/>
        </w:rPr>
        <w:tab/>
      </w:r>
      <w:r w:rsidR="00D45720">
        <w:rPr>
          <w:sz w:val="24"/>
          <w:szCs w:val="24"/>
        </w:rPr>
        <w:t xml:space="preserve">From the standpoint of economic efficiency, fairness, and revenue stability, that is the best approach.  However, in some </w:t>
      </w:r>
      <w:r w:rsidR="00243068">
        <w:rPr>
          <w:sz w:val="24"/>
          <w:szCs w:val="24"/>
        </w:rPr>
        <w:t>instances</w:t>
      </w:r>
      <w:r w:rsidR="00D45720">
        <w:rPr>
          <w:sz w:val="24"/>
          <w:szCs w:val="24"/>
        </w:rPr>
        <w:t xml:space="preserve">, a class may be too far away from cost of service under current </w:t>
      </w:r>
      <w:r w:rsidR="00D45720">
        <w:rPr>
          <w:sz w:val="24"/>
          <w:szCs w:val="24"/>
        </w:rPr>
        <w:lastRenderedPageBreak/>
        <w:t>rates</w:t>
      </w:r>
      <w:r w:rsidR="009E0CF5">
        <w:rPr>
          <w:sz w:val="24"/>
          <w:szCs w:val="24"/>
        </w:rPr>
        <w:t>;</w:t>
      </w:r>
      <w:r w:rsidR="00D45720">
        <w:rPr>
          <w:sz w:val="24"/>
          <w:szCs w:val="24"/>
        </w:rPr>
        <w:t xml:space="preserve"> and</w:t>
      </w:r>
      <w:r w:rsidR="009E0CF5">
        <w:rPr>
          <w:sz w:val="24"/>
          <w:szCs w:val="24"/>
        </w:rPr>
        <w:t>,</w:t>
      </w:r>
      <w:r w:rsidR="00D45720">
        <w:rPr>
          <w:sz w:val="24"/>
          <w:szCs w:val="24"/>
        </w:rPr>
        <w:t xml:space="preserve"> to close the gap in one </w:t>
      </w:r>
      <w:r w:rsidR="00F207EA">
        <w:rPr>
          <w:sz w:val="24"/>
          <w:szCs w:val="24"/>
        </w:rPr>
        <w:t>step</w:t>
      </w:r>
      <w:r w:rsidR="00D45720">
        <w:rPr>
          <w:sz w:val="24"/>
          <w:szCs w:val="24"/>
        </w:rPr>
        <w:t xml:space="preserve"> </w:t>
      </w:r>
      <w:r w:rsidR="009514A3">
        <w:rPr>
          <w:sz w:val="24"/>
          <w:szCs w:val="24"/>
        </w:rPr>
        <w:t>would</w:t>
      </w:r>
      <w:r w:rsidR="00D45720">
        <w:rPr>
          <w:sz w:val="24"/>
          <w:szCs w:val="24"/>
        </w:rPr>
        <w:t xml:space="preserve"> promote rate shock.</w:t>
      </w:r>
      <w:r w:rsidR="00243068">
        <w:rPr>
          <w:rStyle w:val="FootnoteReference"/>
          <w:sz w:val="24"/>
          <w:szCs w:val="24"/>
        </w:rPr>
        <w:footnoteReference w:id="96"/>
      </w:r>
    </w:p>
    <w:p w:rsidR="00763323" w:rsidRDefault="001F5819" w:rsidP="00E3388B">
      <w:pPr>
        <w:spacing w:line="480" w:lineRule="auto"/>
        <w:ind w:left="720" w:hanging="720"/>
        <w:jc w:val="both"/>
        <w:rPr>
          <w:sz w:val="24"/>
          <w:szCs w:val="24"/>
        </w:rPr>
      </w:pPr>
      <w:r>
        <w:rPr>
          <w:sz w:val="24"/>
          <w:szCs w:val="24"/>
        </w:rPr>
        <w:tab/>
      </w:r>
      <w:r>
        <w:rPr>
          <w:sz w:val="24"/>
          <w:szCs w:val="24"/>
        </w:rPr>
        <w:tab/>
        <w:t xml:space="preserve">If it is determined that setting revenues directly to cost would promote </w:t>
      </w:r>
      <w:r w:rsidR="00004103">
        <w:rPr>
          <w:sz w:val="24"/>
          <w:szCs w:val="24"/>
        </w:rPr>
        <w:t xml:space="preserve">an unacceptable degree of </w:t>
      </w:r>
      <w:r>
        <w:rPr>
          <w:sz w:val="24"/>
          <w:szCs w:val="24"/>
        </w:rPr>
        <w:t xml:space="preserve">rate shock for one or more classes, the revenue increase assigned to one or more classes may be </w:t>
      </w:r>
      <w:r w:rsidR="009514A3">
        <w:rPr>
          <w:sz w:val="24"/>
          <w:szCs w:val="24"/>
        </w:rPr>
        <w:t>mitigate</w:t>
      </w:r>
      <w:r w:rsidR="00243068">
        <w:rPr>
          <w:sz w:val="24"/>
          <w:szCs w:val="24"/>
        </w:rPr>
        <w:t>d to decrease the likelihood of undue</w:t>
      </w:r>
      <w:r>
        <w:rPr>
          <w:sz w:val="24"/>
          <w:szCs w:val="24"/>
        </w:rPr>
        <w:t xml:space="preserve"> rate shock.  This kind of approach to revenue distribution is referred to as “gradualism.”</w:t>
      </w:r>
      <w:r w:rsidR="00466731">
        <w:rPr>
          <w:sz w:val="24"/>
          <w:szCs w:val="24"/>
        </w:rPr>
        <w:t xml:space="preserve">  </w:t>
      </w:r>
    </w:p>
    <w:p w:rsidR="00004103" w:rsidRDefault="00903AD1" w:rsidP="00763323">
      <w:pPr>
        <w:spacing w:line="480" w:lineRule="auto"/>
        <w:ind w:left="720" w:firstLine="720"/>
        <w:jc w:val="both"/>
        <w:rPr>
          <w:sz w:val="24"/>
          <w:szCs w:val="24"/>
        </w:rPr>
      </w:pPr>
      <w:r>
        <w:rPr>
          <w:sz w:val="24"/>
          <w:szCs w:val="24"/>
        </w:rPr>
        <w:t>Gradualism</w:t>
      </w:r>
      <w:r w:rsidR="00466731">
        <w:rPr>
          <w:sz w:val="24"/>
          <w:szCs w:val="24"/>
        </w:rPr>
        <w:t xml:space="preserve"> should be performed reluctantly and sparingly because under </w:t>
      </w:r>
      <w:r>
        <w:rPr>
          <w:sz w:val="24"/>
          <w:szCs w:val="24"/>
        </w:rPr>
        <w:t xml:space="preserve">a gradualist approach </w:t>
      </w:r>
      <w:r w:rsidR="00466731">
        <w:rPr>
          <w:sz w:val="24"/>
          <w:szCs w:val="24"/>
        </w:rPr>
        <w:t xml:space="preserve">rates </w:t>
      </w:r>
      <w:r w:rsidR="00004103">
        <w:rPr>
          <w:sz w:val="24"/>
          <w:szCs w:val="24"/>
        </w:rPr>
        <w:t>are</w:t>
      </w:r>
      <w:r w:rsidR="00466731">
        <w:rPr>
          <w:sz w:val="24"/>
          <w:szCs w:val="24"/>
        </w:rPr>
        <w:t xml:space="preserve"> set with the understanding that some of the costs that were caused by one </w:t>
      </w:r>
      <w:r w:rsidR="005E2FE3">
        <w:rPr>
          <w:sz w:val="24"/>
          <w:szCs w:val="24"/>
        </w:rPr>
        <w:t>group of customers</w:t>
      </w:r>
      <w:r w:rsidR="00466731">
        <w:rPr>
          <w:sz w:val="24"/>
          <w:szCs w:val="24"/>
        </w:rPr>
        <w:t xml:space="preserve"> will be shifted onto and borne by </w:t>
      </w:r>
      <w:r w:rsidR="005E2FE3">
        <w:rPr>
          <w:sz w:val="24"/>
          <w:szCs w:val="24"/>
        </w:rPr>
        <w:t>a different</w:t>
      </w:r>
      <w:r w:rsidR="00466731">
        <w:rPr>
          <w:sz w:val="24"/>
          <w:szCs w:val="24"/>
        </w:rPr>
        <w:t xml:space="preserve"> </w:t>
      </w:r>
      <w:r w:rsidR="005E2FE3">
        <w:rPr>
          <w:sz w:val="24"/>
          <w:szCs w:val="24"/>
        </w:rPr>
        <w:t>group of customers</w:t>
      </w:r>
      <w:r w:rsidR="00466731">
        <w:rPr>
          <w:sz w:val="24"/>
          <w:szCs w:val="24"/>
        </w:rPr>
        <w:t xml:space="preserve">, which raises fundamental issues of fairness.   </w:t>
      </w:r>
    </w:p>
    <w:p w:rsidR="001F5819" w:rsidRDefault="00763323" w:rsidP="00763323">
      <w:pPr>
        <w:spacing w:line="480" w:lineRule="auto"/>
        <w:ind w:left="720" w:firstLine="720"/>
        <w:jc w:val="both"/>
        <w:rPr>
          <w:sz w:val="24"/>
          <w:szCs w:val="24"/>
        </w:rPr>
      </w:pPr>
      <w:r>
        <w:rPr>
          <w:sz w:val="24"/>
          <w:szCs w:val="24"/>
        </w:rPr>
        <w:t xml:space="preserve">For an ERCOT utility like </w:t>
      </w:r>
      <w:r w:rsidR="00C8262C">
        <w:rPr>
          <w:sz w:val="24"/>
          <w:szCs w:val="24"/>
        </w:rPr>
        <w:t>CEHE</w:t>
      </w:r>
      <w:r>
        <w:rPr>
          <w:sz w:val="24"/>
          <w:szCs w:val="24"/>
        </w:rPr>
        <w:t xml:space="preserve">, gradualism also introduces competitive market distortions by altering the pass-through charges, and by extension the </w:t>
      </w:r>
      <w:r w:rsidR="006A0DFD">
        <w:rPr>
          <w:sz w:val="24"/>
          <w:szCs w:val="24"/>
        </w:rPr>
        <w:t xml:space="preserve">total </w:t>
      </w:r>
      <w:r>
        <w:rPr>
          <w:sz w:val="24"/>
          <w:szCs w:val="24"/>
        </w:rPr>
        <w:t>price offerings, for all retail electric providers in th</w:t>
      </w:r>
      <w:r w:rsidR="00AB39A1">
        <w:rPr>
          <w:sz w:val="24"/>
          <w:szCs w:val="24"/>
        </w:rPr>
        <w:t>e Company’s service territory.</w:t>
      </w:r>
      <w:r w:rsidR="007C7FE1">
        <w:rPr>
          <w:sz w:val="24"/>
          <w:szCs w:val="24"/>
        </w:rPr>
        <w:t xml:space="preserve">  Avoiding harm to the competitive market has been a component of Commission policy since the inception of the market.  </w:t>
      </w:r>
      <w:r w:rsidR="00743D30">
        <w:rPr>
          <w:sz w:val="24"/>
          <w:szCs w:val="24"/>
        </w:rPr>
        <w:t>As mentioned previously in my testimony, d</w:t>
      </w:r>
      <w:r w:rsidR="007C7FE1">
        <w:rPr>
          <w:sz w:val="24"/>
          <w:szCs w:val="24"/>
        </w:rPr>
        <w:t>uring the transition to competition in 2000, the Commission stated:</w:t>
      </w:r>
    </w:p>
    <w:p w:rsidR="00A4424D" w:rsidRDefault="007C7FE1" w:rsidP="007409C6">
      <w:pPr>
        <w:ind w:left="1440" w:right="720"/>
        <w:jc w:val="both"/>
        <w:rPr>
          <w:sz w:val="24"/>
          <w:szCs w:val="24"/>
        </w:rPr>
      </w:pPr>
      <w:r w:rsidRPr="00FE6A4A">
        <w:rPr>
          <w:sz w:val="24"/>
          <w:szCs w:val="24"/>
        </w:rPr>
        <w:lastRenderedPageBreak/>
        <w:t>CHAIRMAN WOOD: … the cost</w:t>
      </w:r>
      <w:r>
        <w:rPr>
          <w:sz w:val="24"/>
          <w:szCs w:val="24"/>
        </w:rPr>
        <w:t xml:space="preserve"> causation ought to totally drive this.  We ought to be as pure as possible in these rates because if we will continue to perpetuate all these subsidies and cross-subsidization mistakes of the past in the future, that will, I think in the long term, hurt competition …</w:t>
      </w:r>
    </w:p>
    <w:p w:rsidR="007409C6" w:rsidRDefault="007409C6" w:rsidP="007409C6">
      <w:pPr>
        <w:ind w:left="1440" w:right="720"/>
        <w:jc w:val="both"/>
        <w:rPr>
          <w:sz w:val="24"/>
          <w:szCs w:val="24"/>
        </w:rPr>
      </w:pPr>
    </w:p>
    <w:p w:rsidR="007C7FE1" w:rsidRDefault="007C7FE1" w:rsidP="007409C6">
      <w:pPr>
        <w:ind w:left="720" w:right="720" w:firstLine="720"/>
        <w:jc w:val="both"/>
        <w:rPr>
          <w:sz w:val="24"/>
          <w:szCs w:val="24"/>
        </w:rPr>
      </w:pPr>
      <w:r>
        <w:rPr>
          <w:sz w:val="24"/>
          <w:szCs w:val="24"/>
        </w:rPr>
        <w:t>COMM. WALSH:   I think you’re right.</w:t>
      </w:r>
      <w:r>
        <w:rPr>
          <w:rStyle w:val="FootnoteReference"/>
          <w:sz w:val="24"/>
          <w:szCs w:val="24"/>
        </w:rPr>
        <w:footnoteReference w:id="97"/>
      </w:r>
    </w:p>
    <w:p w:rsidR="007409C6" w:rsidRDefault="007409C6" w:rsidP="007409C6">
      <w:pPr>
        <w:ind w:left="720" w:firstLine="720"/>
        <w:jc w:val="both"/>
        <w:rPr>
          <w:sz w:val="24"/>
          <w:szCs w:val="24"/>
        </w:rPr>
      </w:pPr>
    </w:p>
    <w:p w:rsidR="00E3388B" w:rsidRPr="001F5819" w:rsidRDefault="001F5819" w:rsidP="00E3388B">
      <w:pPr>
        <w:spacing w:line="480" w:lineRule="auto"/>
        <w:ind w:left="720" w:hanging="720"/>
        <w:jc w:val="both"/>
        <w:rPr>
          <w:b/>
          <w:sz w:val="24"/>
          <w:szCs w:val="24"/>
        </w:rPr>
      </w:pPr>
      <w:r w:rsidRPr="001F5819">
        <w:rPr>
          <w:b/>
          <w:sz w:val="24"/>
          <w:szCs w:val="24"/>
        </w:rPr>
        <w:t>Q.</w:t>
      </w:r>
      <w:r w:rsidRPr="001F5819">
        <w:rPr>
          <w:b/>
          <w:sz w:val="24"/>
          <w:szCs w:val="24"/>
        </w:rPr>
        <w:tab/>
      </w:r>
      <w:r w:rsidR="00F80336">
        <w:rPr>
          <w:b/>
          <w:sz w:val="24"/>
          <w:szCs w:val="24"/>
        </w:rPr>
        <w:t>Based on Staff’s analysis, p</w:t>
      </w:r>
      <w:r w:rsidRPr="001F5819">
        <w:rPr>
          <w:b/>
          <w:sz w:val="24"/>
          <w:szCs w:val="24"/>
        </w:rPr>
        <w:t>lease show how far each class is from cost under current rates by comparing that class’s cost of service to tha</w:t>
      </w:r>
      <w:r w:rsidR="00F80336">
        <w:rPr>
          <w:b/>
          <w:sz w:val="24"/>
          <w:szCs w:val="24"/>
        </w:rPr>
        <w:t>t class’s present revenues.</w:t>
      </w:r>
    </w:p>
    <w:p w:rsidR="001F5819" w:rsidRDefault="001F5819" w:rsidP="00E3388B">
      <w:pPr>
        <w:spacing w:line="480" w:lineRule="auto"/>
        <w:ind w:left="720" w:hanging="720"/>
        <w:jc w:val="both"/>
        <w:rPr>
          <w:sz w:val="24"/>
          <w:szCs w:val="24"/>
        </w:rPr>
      </w:pPr>
      <w:r>
        <w:rPr>
          <w:sz w:val="24"/>
          <w:szCs w:val="24"/>
        </w:rPr>
        <w:t>A.</w:t>
      </w:r>
      <w:r>
        <w:rPr>
          <w:sz w:val="24"/>
          <w:szCs w:val="24"/>
        </w:rPr>
        <w:tab/>
        <w:t>Each class’s distance from cost under current rates can be seen in the table</w:t>
      </w:r>
      <w:r w:rsidR="00F80336">
        <w:rPr>
          <w:sz w:val="24"/>
          <w:szCs w:val="24"/>
        </w:rPr>
        <w:t xml:space="preserve"> below.  T</w:t>
      </w:r>
      <w:r w:rsidR="00763323">
        <w:rPr>
          <w:sz w:val="24"/>
          <w:szCs w:val="24"/>
        </w:rPr>
        <w:t>he Company’s calculated distance</w:t>
      </w:r>
      <w:r w:rsidR="00F80336">
        <w:rPr>
          <w:sz w:val="24"/>
          <w:szCs w:val="24"/>
        </w:rPr>
        <w:t>s</w:t>
      </w:r>
      <w:r w:rsidR="00763323">
        <w:rPr>
          <w:sz w:val="24"/>
          <w:szCs w:val="24"/>
        </w:rPr>
        <w:t xml:space="preserve"> from cost </w:t>
      </w:r>
      <w:r w:rsidR="00F80336">
        <w:rPr>
          <w:sz w:val="24"/>
          <w:szCs w:val="24"/>
        </w:rPr>
        <w:t xml:space="preserve">are </w:t>
      </w:r>
      <w:r w:rsidR="00763323">
        <w:rPr>
          <w:sz w:val="24"/>
          <w:szCs w:val="24"/>
        </w:rPr>
        <w:t>shown for comparison purposes</w:t>
      </w:r>
      <w:r>
        <w:rPr>
          <w:sz w:val="24"/>
          <w:szCs w:val="24"/>
        </w:rPr>
        <w:t>:</w:t>
      </w:r>
    </w:p>
    <w:p w:rsidR="00E80FE7" w:rsidRDefault="00BC4B99" w:rsidP="00220D29">
      <w:pPr>
        <w:ind w:left="2880" w:hanging="2880"/>
        <w:jc w:val="both"/>
        <w:rPr>
          <w:sz w:val="24"/>
          <w:szCs w:val="24"/>
        </w:rPr>
      </w:pPr>
      <w:r w:rsidRPr="00D35DAF">
        <w:rPr>
          <w:sz w:val="24"/>
          <w:szCs w:val="24"/>
        </w:rPr>
        <w:t xml:space="preserve">Table </w:t>
      </w:r>
      <w:r w:rsidR="00D35DAF" w:rsidRPr="00D35DAF">
        <w:rPr>
          <w:sz w:val="24"/>
          <w:szCs w:val="24"/>
        </w:rPr>
        <w:t>BTM-13</w:t>
      </w:r>
      <w:r w:rsidR="00220D29">
        <w:rPr>
          <w:sz w:val="24"/>
          <w:szCs w:val="24"/>
        </w:rPr>
        <w:tab/>
      </w:r>
      <w:r>
        <w:rPr>
          <w:sz w:val="24"/>
          <w:szCs w:val="24"/>
        </w:rPr>
        <w:t>Class distance from cost under current rates</w:t>
      </w:r>
      <w:r w:rsidR="00220D29">
        <w:rPr>
          <w:sz w:val="24"/>
          <w:szCs w:val="24"/>
        </w:rPr>
        <w:t xml:space="preserve"> (in thousands of dollars)</w:t>
      </w:r>
    </w:p>
    <w:p w:rsidR="00250677" w:rsidRDefault="00250677" w:rsidP="008F7A00">
      <w:pPr>
        <w:jc w:val="both"/>
        <w:rPr>
          <w:sz w:val="24"/>
          <w:szCs w:val="24"/>
        </w:rPr>
      </w:pPr>
    </w:p>
    <w:tbl>
      <w:tblPr>
        <w:tblStyle w:val="TableGrid"/>
        <w:tblW w:w="8820" w:type="dxa"/>
        <w:tblInd w:w="-5" w:type="dxa"/>
        <w:tblLook w:val="04A0" w:firstRow="1" w:lastRow="0" w:firstColumn="1" w:lastColumn="0" w:noHBand="0" w:noVBand="1"/>
      </w:tblPr>
      <w:tblGrid>
        <w:gridCol w:w="1994"/>
        <w:gridCol w:w="1176"/>
        <w:gridCol w:w="1176"/>
        <w:gridCol w:w="1061"/>
        <w:gridCol w:w="1176"/>
        <w:gridCol w:w="1176"/>
        <w:gridCol w:w="1061"/>
      </w:tblGrid>
      <w:tr w:rsidR="00F920A8" w:rsidTr="005A59F3">
        <w:tc>
          <w:tcPr>
            <w:tcW w:w="2002" w:type="dxa"/>
            <w:tcBorders>
              <w:right w:val="single" w:sz="12" w:space="0" w:color="auto"/>
            </w:tcBorders>
          </w:tcPr>
          <w:p w:rsidR="00884DD5" w:rsidRDefault="00884DD5" w:rsidP="00BC4B99">
            <w:pPr>
              <w:jc w:val="both"/>
              <w:rPr>
                <w:sz w:val="24"/>
                <w:szCs w:val="24"/>
              </w:rPr>
            </w:pPr>
          </w:p>
        </w:tc>
        <w:tc>
          <w:tcPr>
            <w:tcW w:w="3415" w:type="dxa"/>
            <w:gridSpan w:val="3"/>
            <w:tcBorders>
              <w:top w:val="single" w:sz="12" w:space="0" w:color="auto"/>
              <w:left w:val="single" w:sz="12" w:space="0" w:color="auto"/>
              <w:right w:val="single" w:sz="12" w:space="0" w:color="auto"/>
            </w:tcBorders>
          </w:tcPr>
          <w:p w:rsidR="00884DD5" w:rsidRDefault="00C8262C" w:rsidP="00884DD5">
            <w:pPr>
              <w:jc w:val="center"/>
              <w:rPr>
                <w:sz w:val="24"/>
                <w:szCs w:val="24"/>
              </w:rPr>
            </w:pPr>
            <w:r>
              <w:rPr>
                <w:sz w:val="24"/>
                <w:szCs w:val="24"/>
              </w:rPr>
              <w:t>CEHE</w:t>
            </w:r>
          </w:p>
        </w:tc>
        <w:tc>
          <w:tcPr>
            <w:tcW w:w="3403" w:type="dxa"/>
            <w:gridSpan w:val="3"/>
            <w:tcBorders>
              <w:top w:val="single" w:sz="12" w:space="0" w:color="auto"/>
              <w:left w:val="single" w:sz="12" w:space="0" w:color="auto"/>
              <w:right w:val="single" w:sz="12" w:space="0" w:color="auto"/>
            </w:tcBorders>
          </w:tcPr>
          <w:p w:rsidR="00884DD5" w:rsidRDefault="00884DD5" w:rsidP="00884DD5">
            <w:pPr>
              <w:jc w:val="center"/>
              <w:rPr>
                <w:sz w:val="24"/>
                <w:szCs w:val="24"/>
              </w:rPr>
            </w:pPr>
            <w:r>
              <w:rPr>
                <w:sz w:val="24"/>
                <w:szCs w:val="24"/>
              </w:rPr>
              <w:t>Staff</w:t>
            </w:r>
          </w:p>
        </w:tc>
      </w:tr>
      <w:tr w:rsidR="008D64EC" w:rsidTr="005A59F3">
        <w:tc>
          <w:tcPr>
            <w:tcW w:w="2002" w:type="dxa"/>
            <w:tcBorders>
              <w:right w:val="single" w:sz="12" w:space="0" w:color="auto"/>
            </w:tcBorders>
          </w:tcPr>
          <w:p w:rsidR="0077692E" w:rsidRDefault="00120C76" w:rsidP="0077692E">
            <w:pPr>
              <w:jc w:val="both"/>
              <w:rPr>
                <w:sz w:val="24"/>
                <w:szCs w:val="24"/>
              </w:rPr>
            </w:pPr>
            <w:r>
              <w:rPr>
                <w:sz w:val="24"/>
                <w:szCs w:val="24"/>
              </w:rPr>
              <w:t>Class</w:t>
            </w:r>
          </w:p>
        </w:tc>
        <w:tc>
          <w:tcPr>
            <w:tcW w:w="1176" w:type="dxa"/>
            <w:tcBorders>
              <w:left w:val="single" w:sz="12" w:space="0" w:color="auto"/>
            </w:tcBorders>
            <w:vAlign w:val="bottom"/>
          </w:tcPr>
          <w:p w:rsidR="0077692E" w:rsidRDefault="0077692E" w:rsidP="0077692E">
            <w:pPr>
              <w:jc w:val="center"/>
              <w:rPr>
                <w:sz w:val="24"/>
                <w:szCs w:val="24"/>
              </w:rPr>
            </w:pPr>
            <w:r>
              <w:rPr>
                <w:sz w:val="24"/>
                <w:szCs w:val="24"/>
              </w:rPr>
              <w:t>Present Revenue</w:t>
            </w:r>
          </w:p>
        </w:tc>
        <w:tc>
          <w:tcPr>
            <w:tcW w:w="1176" w:type="dxa"/>
            <w:vAlign w:val="bottom"/>
          </w:tcPr>
          <w:p w:rsidR="0077692E" w:rsidRDefault="0077692E" w:rsidP="0077692E">
            <w:pPr>
              <w:jc w:val="center"/>
              <w:rPr>
                <w:sz w:val="24"/>
                <w:szCs w:val="24"/>
              </w:rPr>
            </w:pPr>
            <w:r>
              <w:rPr>
                <w:sz w:val="24"/>
                <w:szCs w:val="24"/>
              </w:rPr>
              <w:t>Cost of Service</w:t>
            </w:r>
          </w:p>
        </w:tc>
        <w:tc>
          <w:tcPr>
            <w:tcW w:w="1063" w:type="dxa"/>
            <w:tcBorders>
              <w:right w:val="single" w:sz="12" w:space="0" w:color="auto"/>
            </w:tcBorders>
            <w:vAlign w:val="bottom"/>
          </w:tcPr>
          <w:p w:rsidR="0077692E" w:rsidRDefault="008F7A00" w:rsidP="0077692E">
            <w:pPr>
              <w:jc w:val="center"/>
              <w:rPr>
                <w:sz w:val="24"/>
                <w:szCs w:val="24"/>
              </w:rPr>
            </w:pPr>
            <w:r>
              <w:rPr>
                <w:sz w:val="24"/>
                <w:szCs w:val="24"/>
              </w:rPr>
              <w:t>Change</w:t>
            </w:r>
            <w:r w:rsidR="00237765">
              <w:rPr>
                <w:sz w:val="24"/>
                <w:szCs w:val="24"/>
              </w:rPr>
              <w:t xml:space="preserve"> (%)</w:t>
            </w:r>
          </w:p>
        </w:tc>
        <w:tc>
          <w:tcPr>
            <w:tcW w:w="1164" w:type="dxa"/>
            <w:tcBorders>
              <w:left w:val="single" w:sz="12" w:space="0" w:color="auto"/>
            </w:tcBorders>
            <w:vAlign w:val="bottom"/>
          </w:tcPr>
          <w:p w:rsidR="0077692E" w:rsidRDefault="0077692E" w:rsidP="0077692E">
            <w:pPr>
              <w:jc w:val="center"/>
              <w:rPr>
                <w:sz w:val="24"/>
                <w:szCs w:val="24"/>
              </w:rPr>
            </w:pPr>
            <w:r>
              <w:rPr>
                <w:sz w:val="24"/>
                <w:szCs w:val="24"/>
              </w:rPr>
              <w:t>Present Revenue</w:t>
            </w:r>
          </w:p>
        </w:tc>
        <w:tc>
          <w:tcPr>
            <w:tcW w:w="1176" w:type="dxa"/>
            <w:vAlign w:val="bottom"/>
          </w:tcPr>
          <w:p w:rsidR="0077692E" w:rsidRDefault="0077692E" w:rsidP="0077692E">
            <w:pPr>
              <w:jc w:val="center"/>
              <w:rPr>
                <w:sz w:val="24"/>
                <w:szCs w:val="24"/>
              </w:rPr>
            </w:pPr>
            <w:r>
              <w:rPr>
                <w:sz w:val="24"/>
                <w:szCs w:val="24"/>
              </w:rPr>
              <w:t>Cost of Service</w:t>
            </w:r>
          </w:p>
        </w:tc>
        <w:tc>
          <w:tcPr>
            <w:tcW w:w="1063" w:type="dxa"/>
            <w:tcBorders>
              <w:right w:val="single" w:sz="12" w:space="0" w:color="auto"/>
            </w:tcBorders>
            <w:vAlign w:val="bottom"/>
          </w:tcPr>
          <w:p w:rsidR="0077692E" w:rsidRDefault="008F7A00" w:rsidP="0077692E">
            <w:pPr>
              <w:jc w:val="center"/>
              <w:rPr>
                <w:sz w:val="24"/>
                <w:szCs w:val="24"/>
              </w:rPr>
            </w:pPr>
            <w:r>
              <w:rPr>
                <w:sz w:val="24"/>
                <w:szCs w:val="24"/>
              </w:rPr>
              <w:t xml:space="preserve">Change </w:t>
            </w:r>
            <w:r w:rsidR="00237765">
              <w:rPr>
                <w:sz w:val="24"/>
                <w:szCs w:val="24"/>
              </w:rPr>
              <w:t>(%)</w:t>
            </w:r>
          </w:p>
        </w:tc>
      </w:tr>
      <w:tr w:rsidR="008D64EC" w:rsidTr="005A59F3">
        <w:tc>
          <w:tcPr>
            <w:tcW w:w="2002" w:type="dxa"/>
            <w:tcBorders>
              <w:right w:val="single" w:sz="12" w:space="0" w:color="auto"/>
            </w:tcBorders>
          </w:tcPr>
          <w:p w:rsidR="0077692E" w:rsidRDefault="0077692E" w:rsidP="0077692E">
            <w:pPr>
              <w:rPr>
                <w:sz w:val="24"/>
                <w:szCs w:val="24"/>
              </w:rPr>
            </w:pPr>
            <w:r>
              <w:rPr>
                <w:sz w:val="24"/>
                <w:szCs w:val="24"/>
              </w:rPr>
              <w:t>Residential</w:t>
            </w:r>
          </w:p>
        </w:tc>
        <w:tc>
          <w:tcPr>
            <w:tcW w:w="1176" w:type="dxa"/>
            <w:tcBorders>
              <w:left w:val="single" w:sz="12" w:space="0" w:color="auto"/>
            </w:tcBorders>
          </w:tcPr>
          <w:p w:rsidR="0077692E" w:rsidRDefault="00326A57" w:rsidP="00237765">
            <w:pPr>
              <w:jc w:val="right"/>
              <w:rPr>
                <w:sz w:val="24"/>
                <w:szCs w:val="24"/>
              </w:rPr>
            </w:pPr>
            <w:r>
              <w:rPr>
                <w:sz w:val="24"/>
                <w:szCs w:val="24"/>
              </w:rPr>
              <w:t>1,130,553</w:t>
            </w:r>
          </w:p>
        </w:tc>
        <w:tc>
          <w:tcPr>
            <w:tcW w:w="1176" w:type="dxa"/>
          </w:tcPr>
          <w:p w:rsidR="0077692E" w:rsidRDefault="00220D29" w:rsidP="00237765">
            <w:pPr>
              <w:jc w:val="right"/>
              <w:rPr>
                <w:sz w:val="24"/>
                <w:szCs w:val="24"/>
              </w:rPr>
            </w:pPr>
            <w:r>
              <w:rPr>
                <w:sz w:val="24"/>
                <w:szCs w:val="24"/>
              </w:rPr>
              <w:t>1</w:t>
            </w:r>
            <w:r w:rsidR="00402521">
              <w:rPr>
                <w:sz w:val="24"/>
                <w:szCs w:val="24"/>
              </w:rPr>
              <w:t>,</w:t>
            </w:r>
            <w:r>
              <w:rPr>
                <w:sz w:val="24"/>
                <w:szCs w:val="24"/>
              </w:rPr>
              <w:t>217</w:t>
            </w:r>
            <w:r w:rsidR="00402521">
              <w:rPr>
                <w:sz w:val="24"/>
                <w:szCs w:val="24"/>
              </w:rPr>
              <w:t>,</w:t>
            </w:r>
            <w:r>
              <w:rPr>
                <w:sz w:val="24"/>
                <w:szCs w:val="24"/>
              </w:rPr>
              <w:t>815</w:t>
            </w:r>
          </w:p>
        </w:tc>
        <w:tc>
          <w:tcPr>
            <w:tcW w:w="1063" w:type="dxa"/>
            <w:tcBorders>
              <w:right w:val="single" w:sz="12" w:space="0" w:color="auto"/>
            </w:tcBorders>
          </w:tcPr>
          <w:p w:rsidR="0077692E" w:rsidRDefault="00F920A8" w:rsidP="00F920A8">
            <w:pPr>
              <w:jc w:val="right"/>
              <w:rPr>
                <w:sz w:val="24"/>
                <w:szCs w:val="24"/>
              </w:rPr>
            </w:pPr>
            <w:r>
              <w:rPr>
                <w:sz w:val="24"/>
                <w:szCs w:val="24"/>
              </w:rPr>
              <w:t>7.7</w:t>
            </w:r>
          </w:p>
        </w:tc>
        <w:tc>
          <w:tcPr>
            <w:tcW w:w="1164" w:type="dxa"/>
            <w:tcBorders>
              <w:left w:val="single" w:sz="12" w:space="0" w:color="auto"/>
            </w:tcBorders>
          </w:tcPr>
          <w:p w:rsidR="0077692E" w:rsidRDefault="005A59F3" w:rsidP="00237765">
            <w:pPr>
              <w:jc w:val="right"/>
              <w:rPr>
                <w:sz w:val="24"/>
                <w:szCs w:val="24"/>
              </w:rPr>
            </w:pPr>
            <w:r>
              <w:rPr>
                <w:sz w:val="24"/>
                <w:szCs w:val="24"/>
              </w:rPr>
              <w:t>1,164,264</w:t>
            </w:r>
          </w:p>
        </w:tc>
        <w:tc>
          <w:tcPr>
            <w:tcW w:w="1176" w:type="dxa"/>
          </w:tcPr>
          <w:p w:rsidR="0077692E" w:rsidRDefault="00220D29" w:rsidP="00237765">
            <w:pPr>
              <w:jc w:val="right"/>
              <w:rPr>
                <w:sz w:val="24"/>
                <w:szCs w:val="24"/>
              </w:rPr>
            </w:pPr>
            <w:r>
              <w:rPr>
                <w:sz w:val="24"/>
                <w:szCs w:val="24"/>
              </w:rPr>
              <w:t>1</w:t>
            </w:r>
            <w:r w:rsidR="00402521">
              <w:rPr>
                <w:sz w:val="24"/>
                <w:szCs w:val="24"/>
              </w:rPr>
              <w:t>,</w:t>
            </w:r>
            <w:r w:rsidR="00D95313">
              <w:rPr>
                <w:sz w:val="24"/>
                <w:szCs w:val="24"/>
              </w:rPr>
              <w:t>164,020</w:t>
            </w:r>
          </w:p>
        </w:tc>
        <w:tc>
          <w:tcPr>
            <w:tcW w:w="1063" w:type="dxa"/>
            <w:tcBorders>
              <w:right w:val="single" w:sz="12" w:space="0" w:color="auto"/>
            </w:tcBorders>
          </w:tcPr>
          <w:p w:rsidR="0077692E" w:rsidRDefault="009C7E7B" w:rsidP="009C7E7B">
            <w:pPr>
              <w:jc w:val="right"/>
              <w:rPr>
                <w:sz w:val="24"/>
                <w:szCs w:val="24"/>
              </w:rPr>
            </w:pPr>
            <w:r>
              <w:rPr>
                <w:sz w:val="24"/>
                <w:szCs w:val="24"/>
              </w:rPr>
              <w:t>0.0</w:t>
            </w:r>
          </w:p>
        </w:tc>
      </w:tr>
      <w:tr w:rsidR="008D64EC" w:rsidTr="005A59F3">
        <w:tc>
          <w:tcPr>
            <w:tcW w:w="2002" w:type="dxa"/>
            <w:tcBorders>
              <w:right w:val="single" w:sz="12" w:space="0" w:color="auto"/>
            </w:tcBorders>
          </w:tcPr>
          <w:p w:rsidR="0077692E" w:rsidRDefault="0077692E" w:rsidP="0077692E">
            <w:pPr>
              <w:rPr>
                <w:sz w:val="24"/>
                <w:szCs w:val="24"/>
              </w:rPr>
            </w:pPr>
            <w:r>
              <w:rPr>
                <w:sz w:val="24"/>
                <w:szCs w:val="24"/>
              </w:rPr>
              <w:t>Secondary Small</w:t>
            </w:r>
          </w:p>
        </w:tc>
        <w:tc>
          <w:tcPr>
            <w:tcW w:w="1176" w:type="dxa"/>
            <w:tcBorders>
              <w:left w:val="single" w:sz="12" w:space="0" w:color="auto"/>
            </w:tcBorders>
          </w:tcPr>
          <w:p w:rsidR="0077692E" w:rsidRDefault="00326A57" w:rsidP="00237765">
            <w:pPr>
              <w:jc w:val="right"/>
              <w:rPr>
                <w:sz w:val="24"/>
                <w:szCs w:val="24"/>
              </w:rPr>
            </w:pPr>
            <w:r>
              <w:rPr>
                <w:sz w:val="24"/>
                <w:szCs w:val="24"/>
              </w:rPr>
              <w:t>32,595</w:t>
            </w:r>
          </w:p>
        </w:tc>
        <w:tc>
          <w:tcPr>
            <w:tcW w:w="1176" w:type="dxa"/>
          </w:tcPr>
          <w:p w:rsidR="0077692E" w:rsidRDefault="00220D29" w:rsidP="00237765">
            <w:pPr>
              <w:jc w:val="right"/>
              <w:rPr>
                <w:sz w:val="24"/>
                <w:szCs w:val="24"/>
              </w:rPr>
            </w:pPr>
            <w:r>
              <w:rPr>
                <w:sz w:val="24"/>
                <w:szCs w:val="24"/>
              </w:rPr>
              <w:t>30</w:t>
            </w:r>
            <w:r w:rsidR="00402521">
              <w:rPr>
                <w:sz w:val="24"/>
                <w:szCs w:val="24"/>
              </w:rPr>
              <w:t>,</w:t>
            </w:r>
            <w:r>
              <w:rPr>
                <w:sz w:val="24"/>
                <w:szCs w:val="24"/>
              </w:rPr>
              <w:t>607</w:t>
            </w:r>
          </w:p>
        </w:tc>
        <w:tc>
          <w:tcPr>
            <w:tcW w:w="1063" w:type="dxa"/>
            <w:tcBorders>
              <w:right w:val="single" w:sz="12" w:space="0" w:color="auto"/>
            </w:tcBorders>
          </w:tcPr>
          <w:p w:rsidR="0077692E" w:rsidRDefault="00F920A8" w:rsidP="00F920A8">
            <w:pPr>
              <w:jc w:val="right"/>
              <w:rPr>
                <w:sz w:val="24"/>
                <w:szCs w:val="24"/>
              </w:rPr>
            </w:pPr>
            <w:r>
              <w:rPr>
                <w:sz w:val="24"/>
                <w:szCs w:val="24"/>
              </w:rPr>
              <w:t>-6.1</w:t>
            </w:r>
          </w:p>
        </w:tc>
        <w:tc>
          <w:tcPr>
            <w:tcW w:w="1164" w:type="dxa"/>
            <w:tcBorders>
              <w:left w:val="single" w:sz="12" w:space="0" w:color="auto"/>
            </w:tcBorders>
          </w:tcPr>
          <w:p w:rsidR="0077692E" w:rsidRDefault="005A59F3" w:rsidP="00237765">
            <w:pPr>
              <w:jc w:val="right"/>
              <w:rPr>
                <w:sz w:val="24"/>
                <w:szCs w:val="24"/>
              </w:rPr>
            </w:pPr>
            <w:r>
              <w:rPr>
                <w:sz w:val="24"/>
                <w:szCs w:val="24"/>
              </w:rPr>
              <w:t>32,768</w:t>
            </w:r>
          </w:p>
        </w:tc>
        <w:tc>
          <w:tcPr>
            <w:tcW w:w="1176" w:type="dxa"/>
          </w:tcPr>
          <w:p w:rsidR="0077692E" w:rsidRDefault="006850D5" w:rsidP="00237765">
            <w:pPr>
              <w:jc w:val="right"/>
              <w:rPr>
                <w:sz w:val="24"/>
                <w:szCs w:val="24"/>
              </w:rPr>
            </w:pPr>
            <w:r>
              <w:rPr>
                <w:sz w:val="24"/>
                <w:szCs w:val="24"/>
              </w:rPr>
              <w:t>28,898</w:t>
            </w:r>
          </w:p>
        </w:tc>
        <w:tc>
          <w:tcPr>
            <w:tcW w:w="1063" w:type="dxa"/>
            <w:tcBorders>
              <w:right w:val="single" w:sz="12" w:space="0" w:color="auto"/>
            </w:tcBorders>
          </w:tcPr>
          <w:p w:rsidR="0077692E" w:rsidRDefault="00657ABC" w:rsidP="009C7E7B">
            <w:pPr>
              <w:jc w:val="right"/>
              <w:rPr>
                <w:sz w:val="24"/>
                <w:szCs w:val="24"/>
              </w:rPr>
            </w:pPr>
            <w:r>
              <w:rPr>
                <w:sz w:val="24"/>
                <w:szCs w:val="24"/>
              </w:rPr>
              <w:t>-11.8</w:t>
            </w:r>
          </w:p>
        </w:tc>
      </w:tr>
      <w:tr w:rsidR="005A59F3" w:rsidTr="005A59F3">
        <w:tc>
          <w:tcPr>
            <w:tcW w:w="2002" w:type="dxa"/>
            <w:tcBorders>
              <w:right w:val="single" w:sz="12" w:space="0" w:color="auto"/>
            </w:tcBorders>
          </w:tcPr>
          <w:p w:rsidR="005A59F3" w:rsidRDefault="005A59F3" w:rsidP="005A59F3">
            <w:pPr>
              <w:rPr>
                <w:sz w:val="24"/>
                <w:szCs w:val="24"/>
              </w:rPr>
            </w:pPr>
            <w:r>
              <w:rPr>
                <w:sz w:val="24"/>
                <w:szCs w:val="24"/>
              </w:rPr>
              <w:t>Secondary Large</w:t>
            </w:r>
          </w:p>
        </w:tc>
        <w:tc>
          <w:tcPr>
            <w:tcW w:w="1176" w:type="dxa"/>
            <w:tcBorders>
              <w:left w:val="single" w:sz="12" w:space="0" w:color="auto"/>
            </w:tcBorders>
          </w:tcPr>
          <w:p w:rsidR="005A59F3" w:rsidRDefault="005A59F3" w:rsidP="005A59F3">
            <w:pPr>
              <w:jc w:val="right"/>
              <w:rPr>
                <w:sz w:val="24"/>
                <w:szCs w:val="24"/>
              </w:rPr>
            </w:pPr>
            <w:r>
              <w:rPr>
                <w:sz w:val="24"/>
                <w:szCs w:val="24"/>
              </w:rPr>
              <w:t>654,965</w:t>
            </w:r>
          </w:p>
        </w:tc>
        <w:tc>
          <w:tcPr>
            <w:tcW w:w="1176" w:type="dxa"/>
          </w:tcPr>
          <w:p w:rsidR="005A59F3" w:rsidRDefault="005A59F3" w:rsidP="005A59F3">
            <w:pPr>
              <w:jc w:val="right"/>
              <w:rPr>
                <w:sz w:val="24"/>
                <w:szCs w:val="24"/>
              </w:rPr>
            </w:pPr>
            <w:r>
              <w:rPr>
                <w:sz w:val="24"/>
                <w:szCs w:val="24"/>
              </w:rPr>
              <w:t>739,867</w:t>
            </w:r>
          </w:p>
        </w:tc>
        <w:tc>
          <w:tcPr>
            <w:tcW w:w="1063" w:type="dxa"/>
            <w:tcBorders>
              <w:right w:val="single" w:sz="12" w:space="0" w:color="auto"/>
            </w:tcBorders>
          </w:tcPr>
          <w:p w:rsidR="005A59F3" w:rsidRDefault="00F920A8" w:rsidP="00F920A8">
            <w:pPr>
              <w:jc w:val="right"/>
              <w:rPr>
                <w:sz w:val="24"/>
                <w:szCs w:val="24"/>
              </w:rPr>
            </w:pPr>
            <w:r>
              <w:rPr>
                <w:sz w:val="24"/>
                <w:szCs w:val="24"/>
              </w:rPr>
              <w:t>12.9</w:t>
            </w:r>
          </w:p>
        </w:tc>
        <w:tc>
          <w:tcPr>
            <w:tcW w:w="1164" w:type="dxa"/>
            <w:tcBorders>
              <w:left w:val="single" w:sz="12" w:space="0" w:color="auto"/>
            </w:tcBorders>
          </w:tcPr>
          <w:p w:rsidR="005A59F3" w:rsidRDefault="005A59F3" w:rsidP="005A59F3">
            <w:pPr>
              <w:jc w:val="right"/>
              <w:rPr>
                <w:sz w:val="24"/>
                <w:szCs w:val="24"/>
              </w:rPr>
            </w:pPr>
            <w:r>
              <w:rPr>
                <w:sz w:val="24"/>
                <w:szCs w:val="24"/>
              </w:rPr>
              <w:t>654,965</w:t>
            </w:r>
          </w:p>
        </w:tc>
        <w:tc>
          <w:tcPr>
            <w:tcW w:w="1176" w:type="dxa"/>
          </w:tcPr>
          <w:p w:rsidR="005A59F3" w:rsidRDefault="006850D5" w:rsidP="005A59F3">
            <w:pPr>
              <w:jc w:val="right"/>
              <w:rPr>
                <w:sz w:val="24"/>
                <w:szCs w:val="24"/>
              </w:rPr>
            </w:pPr>
            <w:r>
              <w:rPr>
                <w:sz w:val="24"/>
                <w:szCs w:val="24"/>
              </w:rPr>
              <w:t>710,523</w:t>
            </w:r>
          </w:p>
        </w:tc>
        <w:tc>
          <w:tcPr>
            <w:tcW w:w="1063" w:type="dxa"/>
            <w:tcBorders>
              <w:right w:val="single" w:sz="12" w:space="0" w:color="auto"/>
            </w:tcBorders>
          </w:tcPr>
          <w:p w:rsidR="005A59F3" w:rsidRDefault="00DC1349" w:rsidP="009C7E7B">
            <w:pPr>
              <w:jc w:val="right"/>
              <w:rPr>
                <w:sz w:val="24"/>
                <w:szCs w:val="24"/>
              </w:rPr>
            </w:pPr>
            <w:r>
              <w:rPr>
                <w:sz w:val="24"/>
                <w:szCs w:val="24"/>
              </w:rPr>
              <w:t>8.5</w:t>
            </w:r>
          </w:p>
        </w:tc>
      </w:tr>
      <w:tr w:rsidR="005A59F3" w:rsidTr="005A59F3">
        <w:tc>
          <w:tcPr>
            <w:tcW w:w="2002" w:type="dxa"/>
            <w:tcBorders>
              <w:right w:val="single" w:sz="12" w:space="0" w:color="auto"/>
            </w:tcBorders>
          </w:tcPr>
          <w:p w:rsidR="005A59F3" w:rsidRDefault="005A59F3" w:rsidP="005A59F3">
            <w:pPr>
              <w:rPr>
                <w:sz w:val="24"/>
                <w:szCs w:val="24"/>
              </w:rPr>
            </w:pPr>
            <w:r>
              <w:rPr>
                <w:sz w:val="24"/>
                <w:szCs w:val="24"/>
              </w:rPr>
              <w:t>Primary</w:t>
            </w:r>
          </w:p>
        </w:tc>
        <w:tc>
          <w:tcPr>
            <w:tcW w:w="1176" w:type="dxa"/>
            <w:tcBorders>
              <w:left w:val="single" w:sz="12" w:space="0" w:color="auto"/>
            </w:tcBorders>
          </w:tcPr>
          <w:p w:rsidR="005A59F3" w:rsidRDefault="005A59F3" w:rsidP="005A59F3">
            <w:pPr>
              <w:jc w:val="right"/>
              <w:rPr>
                <w:sz w:val="24"/>
                <w:szCs w:val="24"/>
              </w:rPr>
            </w:pPr>
            <w:r>
              <w:rPr>
                <w:sz w:val="24"/>
                <w:szCs w:val="24"/>
              </w:rPr>
              <w:t>66,701</w:t>
            </w:r>
          </w:p>
        </w:tc>
        <w:tc>
          <w:tcPr>
            <w:tcW w:w="1176" w:type="dxa"/>
          </w:tcPr>
          <w:p w:rsidR="005A59F3" w:rsidRDefault="005A59F3" w:rsidP="005A59F3">
            <w:pPr>
              <w:jc w:val="right"/>
              <w:rPr>
                <w:sz w:val="24"/>
                <w:szCs w:val="24"/>
              </w:rPr>
            </w:pPr>
            <w:r>
              <w:rPr>
                <w:sz w:val="24"/>
                <w:szCs w:val="24"/>
              </w:rPr>
              <w:t>70,090</w:t>
            </w:r>
          </w:p>
        </w:tc>
        <w:tc>
          <w:tcPr>
            <w:tcW w:w="1063" w:type="dxa"/>
            <w:tcBorders>
              <w:right w:val="single" w:sz="12" w:space="0" w:color="auto"/>
            </w:tcBorders>
          </w:tcPr>
          <w:p w:rsidR="005A59F3" w:rsidRDefault="00D95313" w:rsidP="00F920A8">
            <w:pPr>
              <w:jc w:val="right"/>
              <w:rPr>
                <w:sz w:val="24"/>
                <w:szCs w:val="24"/>
              </w:rPr>
            </w:pPr>
            <w:r>
              <w:rPr>
                <w:sz w:val="24"/>
                <w:szCs w:val="24"/>
              </w:rPr>
              <w:t>5.1</w:t>
            </w:r>
          </w:p>
        </w:tc>
        <w:tc>
          <w:tcPr>
            <w:tcW w:w="1164" w:type="dxa"/>
            <w:tcBorders>
              <w:left w:val="single" w:sz="12" w:space="0" w:color="auto"/>
            </w:tcBorders>
          </w:tcPr>
          <w:p w:rsidR="005A59F3" w:rsidRDefault="005A59F3" w:rsidP="005A59F3">
            <w:pPr>
              <w:jc w:val="right"/>
              <w:rPr>
                <w:sz w:val="24"/>
                <w:szCs w:val="24"/>
              </w:rPr>
            </w:pPr>
            <w:r>
              <w:rPr>
                <w:sz w:val="24"/>
                <w:szCs w:val="24"/>
              </w:rPr>
              <w:t>66,701</w:t>
            </w:r>
          </w:p>
        </w:tc>
        <w:tc>
          <w:tcPr>
            <w:tcW w:w="1176" w:type="dxa"/>
          </w:tcPr>
          <w:p w:rsidR="005A59F3" w:rsidRDefault="006850D5" w:rsidP="005A59F3">
            <w:pPr>
              <w:jc w:val="right"/>
              <w:rPr>
                <w:sz w:val="24"/>
                <w:szCs w:val="24"/>
              </w:rPr>
            </w:pPr>
            <w:r>
              <w:rPr>
                <w:sz w:val="24"/>
                <w:szCs w:val="24"/>
              </w:rPr>
              <w:t>66,283</w:t>
            </w:r>
          </w:p>
        </w:tc>
        <w:tc>
          <w:tcPr>
            <w:tcW w:w="1063" w:type="dxa"/>
            <w:tcBorders>
              <w:right w:val="single" w:sz="12" w:space="0" w:color="auto"/>
            </w:tcBorders>
          </w:tcPr>
          <w:p w:rsidR="005A59F3" w:rsidRDefault="00DC1349" w:rsidP="009C7E7B">
            <w:pPr>
              <w:jc w:val="right"/>
              <w:rPr>
                <w:sz w:val="24"/>
                <w:szCs w:val="24"/>
              </w:rPr>
            </w:pPr>
            <w:r>
              <w:rPr>
                <w:sz w:val="24"/>
                <w:szCs w:val="24"/>
              </w:rPr>
              <w:t>-0.6</w:t>
            </w:r>
          </w:p>
        </w:tc>
      </w:tr>
      <w:tr w:rsidR="005A59F3" w:rsidTr="005A59F3">
        <w:tc>
          <w:tcPr>
            <w:tcW w:w="2002" w:type="dxa"/>
            <w:tcBorders>
              <w:right w:val="single" w:sz="12" w:space="0" w:color="auto"/>
            </w:tcBorders>
          </w:tcPr>
          <w:p w:rsidR="005A59F3" w:rsidRDefault="005A59F3" w:rsidP="005A59F3">
            <w:pPr>
              <w:rPr>
                <w:sz w:val="24"/>
                <w:szCs w:val="24"/>
              </w:rPr>
            </w:pPr>
            <w:r>
              <w:rPr>
                <w:sz w:val="24"/>
                <w:szCs w:val="24"/>
              </w:rPr>
              <w:t>Transmission</w:t>
            </w:r>
          </w:p>
        </w:tc>
        <w:tc>
          <w:tcPr>
            <w:tcW w:w="1176" w:type="dxa"/>
            <w:tcBorders>
              <w:left w:val="single" w:sz="12" w:space="0" w:color="auto"/>
            </w:tcBorders>
          </w:tcPr>
          <w:p w:rsidR="005A59F3" w:rsidRDefault="005A59F3" w:rsidP="005A59F3">
            <w:pPr>
              <w:jc w:val="right"/>
              <w:rPr>
                <w:sz w:val="24"/>
                <w:szCs w:val="24"/>
              </w:rPr>
            </w:pPr>
            <w:r>
              <w:rPr>
                <w:sz w:val="24"/>
                <w:szCs w:val="24"/>
              </w:rPr>
              <w:t>143,212</w:t>
            </w:r>
          </w:p>
        </w:tc>
        <w:tc>
          <w:tcPr>
            <w:tcW w:w="1176" w:type="dxa"/>
          </w:tcPr>
          <w:p w:rsidR="005A59F3" w:rsidRDefault="005A59F3" w:rsidP="005A59F3">
            <w:pPr>
              <w:jc w:val="right"/>
              <w:rPr>
                <w:sz w:val="24"/>
                <w:szCs w:val="24"/>
              </w:rPr>
            </w:pPr>
            <w:r>
              <w:rPr>
                <w:sz w:val="24"/>
                <w:szCs w:val="24"/>
              </w:rPr>
              <w:t>162,434</w:t>
            </w:r>
          </w:p>
        </w:tc>
        <w:tc>
          <w:tcPr>
            <w:tcW w:w="1063" w:type="dxa"/>
            <w:tcBorders>
              <w:right w:val="single" w:sz="12" w:space="0" w:color="auto"/>
            </w:tcBorders>
          </w:tcPr>
          <w:p w:rsidR="005A59F3" w:rsidRDefault="00F920A8" w:rsidP="00F920A8">
            <w:pPr>
              <w:jc w:val="right"/>
              <w:rPr>
                <w:sz w:val="24"/>
                <w:szCs w:val="24"/>
              </w:rPr>
            </w:pPr>
            <w:r>
              <w:rPr>
                <w:sz w:val="24"/>
                <w:szCs w:val="24"/>
              </w:rPr>
              <w:t>13.4</w:t>
            </w:r>
          </w:p>
        </w:tc>
        <w:tc>
          <w:tcPr>
            <w:tcW w:w="1164" w:type="dxa"/>
            <w:tcBorders>
              <w:left w:val="single" w:sz="12" w:space="0" w:color="auto"/>
            </w:tcBorders>
          </w:tcPr>
          <w:p w:rsidR="005A59F3" w:rsidRDefault="005A59F3" w:rsidP="005A59F3">
            <w:pPr>
              <w:jc w:val="right"/>
              <w:rPr>
                <w:sz w:val="24"/>
                <w:szCs w:val="24"/>
              </w:rPr>
            </w:pPr>
            <w:r>
              <w:rPr>
                <w:sz w:val="24"/>
                <w:szCs w:val="24"/>
              </w:rPr>
              <w:t>143,212</w:t>
            </w:r>
          </w:p>
        </w:tc>
        <w:tc>
          <w:tcPr>
            <w:tcW w:w="1176" w:type="dxa"/>
          </w:tcPr>
          <w:p w:rsidR="005A59F3" w:rsidRDefault="006850D5" w:rsidP="005A59F3">
            <w:pPr>
              <w:jc w:val="right"/>
              <w:rPr>
                <w:sz w:val="24"/>
                <w:szCs w:val="24"/>
              </w:rPr>
            </w:pPr>
            <w:r>
              <w:rPr>
                <w:sz w:val="24"/>
                <w:szCs w:val="24"/>
              </w:rPr>
              <w:t>146,540</w:t>
            </w:r>
          </w:p>
        </w:tc>
        <w:tc>
          <w:tcPr>
            <w:tcW w:w="1063" w:type="dxa"/>
            <w:tcBorders>
              <w:right w:val="single" w:sz="12" w:space="0" w:color="auto"/>
            </w:tcBorders>
          </w:tcPr>
          <w:p w:rsidR="005A59F3" w:rsidRDefault="00A77E6A" w:rsidP="009C7E7B">
            <w:pPr>
              <w:jc w:val="right"/>
              <w:rPr>
                <w:sz w:val="24"/>
                <w:szCs w:val="24"/>
              </w:rPr>
            </w:pPr>
            <w:r>
              <w:rPr>
                <w:sz w:val="24"/>
                <w:szCs w:val="24"/>
              </w:rPr>
              <w:t>2.3</w:t>
            </w:r>
          </w:p>
        </w:tc>
      </w:tr>
      <w:tr w:rsidR="005A59F3" w:rsidTr="005A59F3">
        <w:tc>
          <w:tcPr>
            <w:tcW w:w="2002" w:type="dxa"/>
            <w:tcBorders>
              <w:right w:val="single" w:sz="12" w:space="0" w:color="auto"/>
            </w:tcBorders>
          </w:tcPr>
          <w:p w:rsidR="005A59F3" w:rsidRDefault="005A59F3" w:rsidP="005A59F3">
            <w:pPr>
              <w:rPr>
                <w:sz w:val="24"/>
                <w:szCs w:val="24"/>
              </w:rPr>
            </w:pPr>
            <w:r>
              <w:rPr>
                <w:sz w:val="24"/>
                <w:szCs w:val="24"/>
              </w:rPr>
              <w:t>Lighting - SLS</w:t>
            </w:r>
          </w:p>
        </w:tc>
        <w:tc>
          <w:tcPr>
            <w:tcW w:w="1176" w:type="dxa"/>
            <w:tcBorders>
              <w:left w:val="single" w:sz="12" w:space="0" w:color="auto"/>
            </w:tcBorders>
          </w:tcPr>
          <w:p w:rsidR="005A59F3" w:rsidRDefault="006850D5" w:rsidP="005A59F3">
            <w:pPr>
              <w:jc w:val="right"/>
              <w:rPr>
                <w:sz w:val="24"/>
                <w:szCs w:val="24"/>
              </w:rPr>
            </w:pPr>
            <w:r>
              <w:rPr>
                <w:sz w:val="24"/>
                <w:szCs w:val="24"/>
              </w:rPr>
              <w:t>63,730</w:t>
            </w:r>
          </w:p>
        </w:tc>
        <w:tc>
          <w:tcPr>
            <w:tcW w:w="1176" w:type="dxa"/>
          </w:tcPr>
          <w:p w:rsidR="005A59F3" w:rsidRDefault="005A59F3" w:rsidP="005A59F3">
            <w:pPr>
              <w:jc w:val="right"/>
              <w:rPr>
                <w:sz w:val="24"/>
                <w:szCs w:val="24"/>
              </w:rPr>
            </w:pPr>
            <w:r>
              <w:rPr>
                <w:sz w:val="24"/>
                <w:szCs w:val="24"/>
              </w:rPr>
              <w:t>58,265</w:t>
            </w:r>
          </w:p>
        </w:tc>
        <w:tc>
          <w:tcPr>
            <w:tcW w:w="1063" w:type="dxa"/>
            <w:tcBorders>
              <w:right w:val="single" w:sz="12" w:space="0" w:color="auto"/>
            </w:tcBorders>
          </w:tcPr>
          <w:p w:rsidR="005A59F3" w:rsidRDefault="00D95313" w:rsidP="00F920A8">
            <w:pPr>
              <w:jc w:val="right"/>
              <w:rPr>
                <w:sz w:val="24"/>
                <w:szCs w:val="24"/>
              </w:rPr>
            </w:pPr>
            <w:r>
              <w:rPr>
                <w:sz w:val="24"/>
                <w:szCs w:val="24"/>
              </w:rPr>
              <w:t>-8.6</w:t>
            </w:r>
          </w:p>
        </w:tc>
        <w:tc>
          <w:tcPr>
            <w:tcW w:w="1164" w:type="dxa"/>
            <w:tcBorders>
              <w:left w:val="single" w:sz="12" w:space="0" w:color="auto"/>
            </w:tcBorders>
          </w:tcPr>
          <w:p w:rsidR="005A59F3" w:rsidRDefault="00D051C9" w:rsidP="005A59F3">
            <w:pPr>
              <w:jc w:val="right"/>
              <w:rPr>
                <w:sz w:val="24"/>
                <w:szCs w:val="24"/>
              </w:rPr>
            </w:pPr>
            <w:r>
              <w:rPr>
                <w:sz w:val="24"/>
                <w:szCs w:val="24"/>
              </w:rPr>
              <w:t>63,730</w:t>
            </w:r>
          </w:p>
        </w:tc>
        <w:tc>
          <w:tcPr>
            <w:tcW w:w="1176" w:type="dxa"/>
          </w:tcPr>
          <w:p w:rsidR="005A59F3" w:rsidRDefault="006850D5" w:rsidP="005A59F3">
            <w:pPr>
              <w:jc w:val="right"/>
              <w:rPr>
                <w:sz w:val="24"/>
                <w:szCs w:val="24"/>
              </w:rPr>
            </w:pPr>
            <w:r>
              <w:rPr>
                <w:sz w:val="24"/>
                <w:szCs w:val="24"/>
              </w:rPr>
              <w:t>51,548</w:t>
            </w:r>
          </w:p>
        </w:tc>
        <w:tc>
          <w:tcPr>
            <w:tcW w:w="1063" w:type="dxa"/>
            <w:tcBorders>
              <w:right w:val="single" w:sz="12" w:space="0" w:color="auto"/>
            </w:tcBorders>
          </w:tcPr>
          <w:p w:rsidR="005A59F3" w:rsidRDefault="005D5ECC" w:rsidP="009C7E7B">
            <w:pPr>
              <w:jc w:val="right"/>
              <w:rPr>
                <w:sz w:val="24"/>
                <w:szCs w:val="24"/>
              </w:rPr>
            </w:pPr>
            <w:r>
              <w:rPr>
                <w:sz w:val="24"/>
                <w:szCs w:val="24"/>
              </w:rPr>
              <w:t>-19.1</w:t>
            </w:r>
          </w:p>
        </w:tc>
      </w:tr>
      <w:tr w:rsidR="005A59F3" w:rsidTr="005A59F3">
        <w:tc>
          <w:tcPr>
            <w:tcW w:w="2002" w:type="dxa"/>
            <w:tcBorders>
              <w:right w:val="single" w:sz="12" w:space="0" w:color="auto"/>
            </w:tcBorders>
          </w:tcPr>
          <w:p w:rsidR="005A59F3" w:rsidRDefault="005A59F3" w:rsidP="005A59F3">
            <w:pPr>
              <w:rPr>
                <w:sz w:val="24"/>
                <w:szCs w:val="24"/>
              </w:rPr>
            </w:pPr>
            <w:r>
              <w:rPr>
                <w:sz w:val="24"/>
                <w:szCs w:val="24"/>
              </w:rPr>
              <w:t>Lighting - MLS</w:t>
            </w:r>
          </w:p>
        </w:tc>
        <w:tc>
          <w:tcPr>
            <w:tcW w:w="1176" w:type="dxa"/>
            <w:tcBorders>
              <w:left w:val="single" w:sz="12" w:space="0" w:color="auto"/>
            </w:tcBorders>
          </w:tcPr>
          <w:p w:rsidR="005A59F3" w:rsidRDefault="006850D5" w:rsidP="005A59F3">
            <w:pPr>
              <w:jc w:val="right"/>
              <w:rPr>
                <w:sz w:val="24"/>
                <w:szCs w:val="24"/>
              </w:rPr>
            </w:pPr>
            <w:r>
              <w:rPr>
                <w:sz w:val="24"/>
                <w:szCs w:val="24"/>
              </w:rPr>
              <w:t>3,844</w:t>
            </w:r>
          </w:p>
        </w:tc>
        <w:tc>
          <w:tcPr>
            <w:tcW w:w="1176" w:type="dxa"/>
          </w:tcPr>
          <w:p w:rsidR="005A59F3" w:rsidRDefault="005A59F3" w:rsidP="005A59F3">
            <w:pPr>
              <w:jc w:val="right"/>
              <w:rPr>
                <w:sz w:val="24"/>
                <w:szCs w:val="24"/>
              </w:rPr>
            </w:pPr>
            <w:r>
              <w:rPr>
                <w:sz w:val="24"/>
                <w:szCs w:val="24"/>
              </w:rPr>
              <w:t>3,127</w:t>
            </w:r>
          </w:p>
        </w:tc>
        <w:tc>
          <w:tcPr>
            <w:tcW w:w="1063" w:type="dxa"/>
            <w:tcBorders>
              <w:right w:val="single" w:sz="12" w:space="0" w:color="auto"/>
            </w:tcBorders>
          </w:tcPr>
          <w:p w:rsidR="005A59F3" w:rsidRDefault="00F920A8" w:rsidP="00F920A8">
            <w:pPr>
              <w:jc w:val="right"/>
              <w:rPr>
                <w:sz w:val="24"/>
                <w:szCs w:val="24"/>
              </w:rPr>
            </w:pPr>
            <w:r>
              <w:rPr>
                <w:sz w:val="24"/>
                <w:szCs w:val="24"/>
              </w:rPr>
              <w:t>-18.</w:t>
            </w:r>
            <w:r w:rsidR="00E80FE7">
              <w:rPr>
                <w:sz w:val="24"/>
                <w:szCs w:val="24"/>
              </w:rPr>
              <w:t>7</w:t>
            </w:r>
          </w:p>
        </w:tc>
        <w:tc>
          <w:tcPr>
            <w:tcW w:w="1164" w:type="dxa"/>
            <w:tcBorders>
              <w:left w:val="single" w:sz="12" w:space="0" w:color="auto"/>
            </w:tcBorders>
          </w:tcPr>
          <w:p w:rsidR="005A59F3" w:rsidRDefault="00D051C9" w:rsidP="005A59F3">
            <w:pPr>
              <w:jc w:val="right"/>
              <w:rPr>
                <w:sz w:val="24"/>
                <w:szCs w:val="24"/>
              </w:rPr>
            </w:pPr>
            <w:r>
              <w:rPr>
                <w:sz w:val="24"/>
                <w:szCs w:val="24"/>
              </w:rPr>
              <w:t>3,844</w:t>
            </w:r>
          </w:p>
        </w:tc>
        <w:tc>
          <w:tcPr>
            <w:tcW w:w="1176" w:type="dxa"/>
          </w:tcPr>
          <w:p w:rsidR="005A59F3" w:rsidRDefault="006850D5" w:rsidP="005A59F3">
            <w:pPr>
              <w:jc w:val="right"/>
              <w:rPr>
                <w:sz w:val="24"/>
                <w:szCs w:val="24"/>
              </w:rPr>
            </w:pPr>
            <w:r>
              <w:rPr>
                <w:sz w:val="24"/>
                <w:szCs w:val="24"/>
              </w:rPr>
              <w:t>2,687</w:t>
            </w:r>
          </w:p>
        </w:tc>
        <w:tc>
          <w:tcPr>
            <w:tcW w:w="1063" w:type="dxa"/>
            <w:tcBorders>
              <w:right w:val="single" w:sz="12" w:space="0" w:color="auto"/>
            </w:tcBorders>
          </w:tcPr>
          <w:p w:rsidR="005A59F3" w:rsidRDefault="005D5ECC" w:rsidP="009C7E7B">
            <w:pPr>
              <w:jc w:val="right"/>
              <w:rPr>
                <w:sz w:val="24"/>
                <w:szCs w:val="24"/>
              </w:rPr>
            </w:pPr>
            <w:r>
              <w:rPr>
                <w:sz w:val="24"/>
                <w:szCs w:val="24"/>
              </w:rPr>
              <w:t>-30.1</w:t>
            </w:r>
          </w:p>
        </w:tc>
      </w:tr>
      <w:tr w:rsidR="005A59F3" w:rsidTr="005A59F3">
        <w:tc>
          <w:tcPr>
            <w:tcW w:w="2002" w:type="dxa"/>
            <w:tcBorders>
              <w:right w:val="single" w:sz="12" w:space="0" w:color="auto"/>
            </w:tcBorders>
          </w:tcPr>
          <w:p w:rsidR="005A59F3" w:rsidRDefault="008F7A00" w:rsidP="005A59F3">
            <w:pPr>
              <w:rPr>
                <w:sz w:val="24"/>
                <w:szCs w:val="24"/>
              </w:rPr>
            </w:pPr>
            <w:r>
              <w:rPr>
                <w:sz w:val="24"/>
                <w:szCs w:val="24"/>
              </w:rPr>
              <w:t>TOTAL</w:t>
            </w:r>
          </w:p>
        </w:tc>
        <w:tc>
          <w:tcPr>
            <w:tcW w:w="1176" w:type="dxa"/>
            <w:tcBorders>
              <w:left w:val="single" w:sz="12" w:space="0" w:color="auto"/>
              <w:bottom w:val="single" w:sz="12" w:space="0" w:color="auto"/>
            </w:tcBorders>
          </w:tcPr>
          <w:p w:rsidR="005A59F3" w:rsidRDefault="005A59F3" w:rsidP="005A59F3">
            <w:pPr>
              <w:jc w:val="right"/>
              <w:rPr>
                <w:sz w:val="24"/>
                <w:szCs w:val="24"/>
              </w:rPr>
            </w:pPr>
            <w:r>
              <w:rPr>
                <w:sz w:val="24"/>
                <w:szCs w:val="24"/>
              </w:rPr>
              <w:t>2,095,600</w:t>
            </w:r>
          </w:p>
        </w:tc>
        <w:tc>
          <w:tcPr>
            <w:tcW w:w="1176" w:type="dxa"/>
            <w:tcBorders>
              <w:bottom w:val="single" w:sz="12" w:space="0" w:color="auto"/>
            </w:tcBorders>
          </w:tcPr>
          <w:p w:rsidR="005A59F3" w:rsidRDefault="00E80FE7" w:rsidP="005A59F3">
            <w:pPr>
              <w:jc w:val="right"/>
              <w:rPr>
                <w:sz w:val="24"/>
                <w:szCs w:val="24"/>
              </w:rPr>
            </w:pPr>
            <w:r>
              <w:rPr>
                <w:sz w:val="24"/>
                <w:szCs w:val="24"/>
              </w:rPr>
              <w:t>2,282,205</w:t>
            </w:r>
          </w:p>
        </w:tc>
        <w:tc>
          <w:tcPr>
            <w:tcW w:w="1063" w:type="dxa"/>
            <w:tcBorders>
              <w:bottom w:val="single" w:sz="12" w:space="0" w:color="auto"/>
              <w:right w:val="single" w:sz="12" w:space="0" w:color="auto"/>
            </w:tcBorders>
          </w:tcPr>
          <w:p w:rsidR="005A59F3" w:rsidRDefault="00D95313" w:rsidP="00F920A8">
            <w:pPr>
              <w:jc w:val="right"/>
              <w:rPr>
                <w:sz w:val="24"/>
                <w:szCs w:val="24"/>
              </w:rPr>
            </w:pPr>
            <w:r>
              <w:rPr>
                <w:sz w:val="24"/>
                <w:szCs w:val="24"/>
              </w:rPr>
              <w:t>8.9</w:t>
            </w:r>
          </w:p>
        </w:tc>
        <w:tc>
          <w:tcPr>
            <w:tcW w:w="1164" w:type="dxa"/>
            <w:tcBorders>
              <w:left w:val="single" w:sz="12" w:space="0" w:color="auto"/>
              <w:bottom w:val="single" w:sz="12" w:space="0" w:color="auto"/>
            </w:tcBorders>
          </w:tcPr>
          <w:p w:rsidR="005A59F3" w:rsidRDefault="005A59F3" w:rsidP="005A59F3">
            <w:pPr>
              <w:jc w:val="right"/>
              <w:rPr>
                <w:sz w:val="24"/>
                <w:szCs w:val="24"/>
              </w:rPr>
            </w:pPr>
            <w:r>
              <w:rPr>
                <w:sz w:val="24"/>
                <w:szCs w:val="24"/>
              </w:rPr>
              <w:t>2,129,485</w:t>
            </w:r>
          </w:p>
        </w:tc>
        <w:tc>
          <w:tcPr>
            <w:tcW w:w="1176" w:type="dxa"/>
            <w:tcBorders>
              <w:bottom w:val="single" w:sz="12" w:space="0" w:color="auto"/>
            </w:tcBorders>
          </w:tcPr>
          <w:p w:rsidR="005A59F3" w:rsidRDefault="008010E9" w:rsidP="005A59F3">
            <w:pPr>
              <w:jc w:val="right"/>
              <w:rPr>
                <w:sz w:val="24"/>
                <w:szCs w:val="24"/>
              </w:rPr>
            </w:pPr>
            <w:r>
              <w:rPr>
                <w:sz w:val="24"/>
                <w:szCs w:val="24"/>
              </w:rPr>
              <w:t>2,170,40</w:t>
            </w:r>
            <w:r w:rsidR="006850D5">
              <w:rPr>
                <w:sz w:val="24"/>
                <w:szCs w:val="24"/>
              </w:rPr>
              <w:t>9</w:t>
            </w:r>
          </w:p>
        </w:tc>
        <w:tc>
          <w:tcPr>
            <w:tcW w:w="1063" w:type="dxa"/>
            <w:tcBorders>
              <w:bottom w:val="single" w:sz="12" w:space="0" w:color="auto"/>
              <w:right w:val="single" w:sz="12" w:space="0" w:color="auto"/>
            </w:tcBorders>
          </w:tcPr>
          <w:p w:rsidR="005A59F3" w:rsidRDefault="00D95313" w:rsidP="009C7E7B">
            <w:pPr>
              <w:jc w:val="right"/>
              <w:rPr>
                <w:sz w:val="24"/>
                <w:szCs w:val="24"/>
              </w:rPr>
            </w:pPr>
            <w:r>
              <w:rPr>
                <w:sz w:val="24"/>
                <w:szCs w:val="24"/>
              </w:rPr>
              <w:t>1.9</w:t>
            </w:r>
          </w:p>
        </w:tc>
      </w:tr>
    </w:tbl>
    <w:p w:rsidR="00BC4B99" w:rsidRDefault="00BC4B99" w:rsidP="00BC4B99">
      <w:pPr>
        <w:ind w:left="720" w:hanging="720"/>
        <w:jc w:val="both"/>
        <w:rPr>
          <w:sz w:val="24"/>
          <w:szCs w:val="24"/>
        </w:rPr>
      </w:pPr>
    </w:p>
    <w:p w:rsidR="006A79C0" w:rsidRDefault="006A79C0" w:rsidP="006A79C0">
      <w:pPr>
        <w:spacing w:line="480" w:lineRule="auto"/>
        <w:ind w:left="720" w:hanging="720"/>
        <w:jc w:val="both"/>
        <w:rPr>
          <w:b/>
          <w:sz w:val="24"/>
          <w:szCs w:val="24"/>
        </w:rPr>
      </w:pPr>
      <w:r w:rsidRPr="006A79C0">
        <w:rPr>
          <w:b/>
          <w:sz w:val="24"/>
          <w:szCs w:val="24"/>
        </w:rPr>
        <w:t>Q.</w:t>
      </w:r>
      <w:r w:rsidRPr="006A79C0">
        <w:rPr>
          <w:b/>
          <w:sz w:val="24"/>
          <w:szCs w:val="24"/>
        </w:rPr>
        <w:tab/>
      </w:r>
      <w:r>
        <w:rPr>
          <w:b/>
          <w:sz w:val="24"/>
          <w:szCs w:val="24"/>
        </w:rPr>
        <w:t xml:space="preserve">What is the Company’s </w:t>
      </w:r>
      <w:r w:rsidR="00256206">
        <w:rPr>
          <w:b/>
          <w:sz w:val="24"/>
          <w:szCs w:val="24"/>
        </w:rPr>
        <w:t>proposed</w:t>
      </w:r>
      <w:r>
        <w:rPr>
          <w:b/>
          <w:sz w:val="24"/>
          <w:szCs w:val="24"/>
        </w:rPr>
        <w:t xml:space="preserve"> approach </w:t>
      </w:r>
      <w:r w:rsidR="00256206">
        <w:rPr>
          <w:b/>
          <w:sz w:val="24"/>
          <w:szCs w:val="24"/>
        </w:rPr>
        <w:t xml:space="preserve">to </w:t>
      </w:r>
      <w:r w:rsidR="00E21CF0">
        <w:rPr>
          <w:b/>
          <w:sz w:val="24"/>
          <w:szCs w:val="24"/>
        </w:rPr>
        <w:t xml:space="preserve">class </w:t>
      </w:r>
      <w:r w:rsidR="00256206">
        <w:rPr>
          <w:b/>
          <w:sz w:val="24"/>
          <w:szCs w:val="24"/>
        </w:rPr>
        <w:t>revenue distribution?</w:t>
      </w:r>
    </w:p>
    <w:p w:rsidR="006A79C0" w:rsidRDefault="006A79C0" w:rsidP="006A79C0">
      <w:pPr>
        <w:spacing w:line="480" w:lineRule="auto"/>
        <w:ind w:left="720" w:hanging="720"/>
        <w:jc w:val="both"/>
        <w:rPr>
          <w:sz w:val="24"/>
          <w:szCs w:val="24"/>
        </w:rPr>
      </w:pPr>
      <w:r w:rsidRPr="006A79C0">
        <w:rPr>
          <w:sz w:val="24"/>
          <w:szCs w:val="24"/>
        </w:rPr>
        <w:lastRenderedPageBreak/>
        <w:t>A.</w:t>
      </w:r>
      <w:r w:rsidRPr="006A79C0">
        <w:rPr>
          <w:sz w:val="24"/>
          <w:szCs w:val="24"/>
        </w:rPr>
        <w:tab/>
      </w:r>
      <w:r w:rsidR="00256206">
        <w:rPr>
          <w:sz w:val="24"/>
          <w:szCs w:val="24"/>
        </w:rPr>
        <w:t>The Company proposes to set revenues at cost for all classes, stating:</w:t>
      </w:r>
    </w:p>
    <w:p w:rsidR="000D1169" w:rsidRPr="000D1169" w:rsidRDefault="00256206" w:rsidP="001B4F40">
      <w:pPr>
        <w:autoSpaceDE w:val="0"/>
        <w:autoSpaceDN w:val="0"/>
        <w:adjustRightInd w:val="0"/>
        <w:ind w:right="720"/>
        <w:jc w:val="both"/>
        <w:rPr>
          <w:sz w:val="24"/>
          <w:szCs w:val="24"/>
        </w:rPr>
      </w:pPr>
      <w:r>
        <w:rPr>
          <w:sz w:val="24"/>
          <w:szCs w:val="24"/>
        </w:rPr>
        <w:tab/>
      </w:r>
      <w:r>
        <w:rPr>
          <w:sz w:val="24"/>
          <w:szCs w:val="24"/>
        </w:rPr>
        <w:tab/>
      </w:r>
      <w:r w:rsidR="000D1169" w:rsidRPr="000D1169">
        <w:rPr>
          <w:sz w:val="24"/>
          <w:szCs w:val="24"/>
        </w:rPr>
        <w:t>Q. ARE ALL RATE CLASSES “IN UNITY”?</w:t>
      </w:r>
    </w:p>
    <w:p w:rsidR="00256206" w:rsidRDefault="000D1169" w:rsidP="001B4F40">
      <w:pPr>
        <w:autoSpaceDE w:val="0"/>
        <w:autoSpaceDN w:val="0"/>
        <w:adjustRightInd w:val="0"/>
        <w:ind w:left="1440" w:right="720"/>
        <w:jc w:val="both"/>
        <w:rPr>
          <w:rFonts w:eastAsia="CIDFont+F2"/>
          <w:sz w:val="24"/>
          <w:szCs w:val="24"/>
        </w:rPr>
      </w:pPr>
      <w:r w:rsidRPr="000D1169">
        <w:rPr>
          <w:rFonts w:eastAsia="CIDFont+F2"/>
          <w:sz w:val="24"/>
          <w:szCs w:val="24"/>
        </w:rPr>
        <w:t>A. Yes, as shown in Schedule II-I-Class Allocation Summary, the proposed delivery</w:t>
      </w:r>
      <w:r>
        <w:rPr>
          <w:rFonts w:eastAsia="CIDFont+F2"/>
          <w:sz w:val="24"/>
          <w:szCs w:val="24"/>
        </w:rPr>
        <w:t xml:space="preserve"> </w:t>
      </w:r>
      <w:r w:rsidRPr="000D1169">
        <w:rPr>
          <w:rFonts w:eastAsia="CIDFont+F2"/>
          <w:sz w:val="24"/>
          <w:szCs w:val="24"/>
        </w:rPr>
        <w:t>system charges for all rate classes were developed using cost causation principles,</w:t>
      </w:r>
      <w:r>
        <w:rPr>
          <w:rFonts w:eastAsia="CIDFont+F2"/>
          <w:sz w:val="24"/>
          <w:szCs w:val="24"/>
        </w:rPr>
        <w:t xml:space="preserve"> </w:t>
      </w:r>
      <w:r w:rsidRPr="000D1169">
        <w:rPr>
          <w:rFonts w:eastAsia="CIDFont+F2"/>
          <w:sz w:val="24"/>
          <w:szCs w:val="24"/>
        </w:rPr>
        <w:t>and thus eliminated interclass revenue subsidies so that the relative rates of return</w:t>
      </w:r>
      <w:r>
        <w:rPr>
          <w:rFonts w:eastAsia="CIDFont+F2"/>
          <w:sz w:val="24"/>
          <w:szCs w:val="24"/>
        </w:rPr>
        <w:t xml:space="preserve"> </w:t>
      </w:r>
      <w:r w:rsidRPr="000D1169">
        <w:rPr>
          <w:rFonts w:eastAsia="CIDFont+F2"/>
          <w:sz w:val="24"/>
          <w:szCs w:val="24"/>
        </w:rPr>
        <w:t>are equalized.</w:t>
      </w:r>
      <w:r>
        <w:rPr>
          <w:rStyle w:val="FootnoteReference"/>
          <w:rFonts w:eastAsia="CIDFont+F2"/>
          <w:sz w:val="24"/>
          <w:szCs w:val="24"/>
        </w:rPr>
        <w:footnoteReference w:id="98"/>
      </w:r>
    </w:p>
    <w:p w:rsidR="007A6D6E" w:rsidRPr="000D1169" w:rsidRDefault="007A6D6E" w:rsidP="000D1169">
      <w:pPr>
        <w:autoSpaceDE w:val="0"/>
        <w:autoSpaceDN w:val="0"/>
        <w:adjustRightInd w:val="0"/>
        <w:ind w:left="1440" w:right="720"/>
        <w:jc w:val="both"/>
        <w:rPr>
          <w:rFonts w:eastAsia="CIDFont+F2"/>
          <w:sz w:val="24"/>
          <w:szCs w:val="24"/>
        </w:rPr>
      </w:pPr>
    </w:p>
    <w:p w:rsidR="006A79C0" w:rsidRDefault="007A6D6E" w:rsidP="00E3388B">
      <w:pPr>
        <w:spacing w:line="480" w:lineRule="auto"/>
        <w:ind w:left="720" w:hanging="720"/>
        <w:jc w:val="both"/>
        <w:rPr>
          <w:b/>
          <w:sz w:val="24"/>
          <w:szCs w:val="24"/>
        </w:rPr>
      </w:pPr>
      <w:r>
        <w:rPr>
          <w:b/>
          <w:sz w:val="24"/>
          <w:szCs w:val="24"/>
        </w:rPr>
        <w:t>Q.</w:t>
      </w:r>
      <w:r>
        <w:rPr>
          <w:b/>
          <w:sz w:val="24"/>
          <w:szCs w:val="24"/>
        </w:rPr>
        <w:tab/>
        <w:t xml:space="preserve">What does it mean for </w:t>
      </w:r>
      <w:r w:rsidR="001976A1">
        <w:rPr>
          <w:b/>
          <w:sz w:val="24"/>
          <w:szCs w:val="24"/>
        </w:rPr>
        <w:t xml:space="preserve">all rate </w:t>
      </w:r>
      <w:r w:rsidR="00196ADD">
        <w:rPr>
          <w:b/>
          <w:sz w:val="24"/>
          <w:szCs w:val="24"/>
        </w:rPr>
        <w:t>classes to be “in unity</w:t>
      </w:r>
      <w:r>
        <w:rPr>
          <w:b/>
          <w:sz w:val="24"/>
          <w:szCs w:val="24"/>
        </w:rPr>
        <w:t>?</w:t>
      </w:r>
      <w:r w:rsidR="00196ADD">
        <w:rPr>
          <w:b/>
          <w:sz w:val="24"/>
          <w:szCs w:val="24"/>
        </w:rPr>
        <w:t>”</w:t>
      </w:r>
    </w:p>
    <w:p w:rsidR="009B117E" w:rsidRDefault="007A6D6E" w:rsidP="00FE6A4A">
      <w:pPr>
        <w:spacing w:line="480" w:lineRule="auto"/>
        <w:ind w:left="720" w:hanging="720"/>
        <w:jc w:val="both"/>
        <w:rPr>
          <w:sz w:val="24"/>
          <w:szCs w:val="24"/>
        </w:rPr>
      </w:pPr>
      <w:r w:rsidRPr="007A6D6E">
        <w:rPr>
          <w:sz w:val="24"/>
          <w:szCs w:val="24"/>
        </w:rPr>
        <w:t>A.</w:t>
      </w:r>
      <w:r w:rsidRPr="007A6D6E">
        <w:rPr>
          <w:sz w:val="24"/>
          <w:szCs w:val="24"/>
        </w:rPr>
        <w:tab/>
      </w:r>
      <w:r w:rsidR="003C2E5E">
        <w:rPr>
          <w:sz w:val="24"/>
          <w:szCs w:val="24"/>
        </w:rPr>
        <w:t>It refers to a</w:t>
      </w:r>
      <w:r w:rsidR="0017363F">
        <w:rPr>
          <w:sz w:val="24"/>
          <w:szCs w:val="24"/>
        </w:rPr>
        <w:t xml:space="preserve"> </w:t>
      </w:r>
      <w:r w:rsidR="003C2E5E">
        <w:rPr>
          <w:sz w:val="24"/>
          <w:szCs w:val="24"/>
        </w:rPr>
        <w:t>conceptualization</w:t>
      </w:r>
      <w:r w:rsidR="0017363F">
        <w:rPr>
          <w:sz w:val="24"/>
          <w:szCs w:val="24"/>
        </w:rPr>
        <w:t xml:space="preserve"> </w:t>
      </w:r>
      <w:r w:rsidR="003C2E5E">
        <w:rPr>
          <w:sz w:val="24"/>
          <w:szCs w:val="24"/>
        </w:rPr>
        <w:t xml:space="preserve">of </w:t>
      </w:r>
      <w:r w:rsidR="0017363F">
        <w:rPr>
          <w:sz w:val="24"/>
          <w:szCs w:val="24"/>
        </w:rPr>
        <w:t xml:space="preserve">a class’s distance from cost </w:t>
      </w:r>
      <w:r w:rsidR="00FE6A4A">
        <w:rPr>
          <w:sz w:val="24"/>
          <w:szCs w:val="24"/>
        </w:rPr>
        <w:t>under which</w:t>
      </w:r>
      <w:r w:rsidR="00903AD1">
        <w:rPr>
          <w:sz w:val="24"/>
          <w:szCs w:val="24"/>
        </w:rPr>
        <w:t xml:space="preserve"> </w:t>
      </w:r>
      <w:r w:rsidR="00BA7750">
        <w:rPr>
          <w:sz w:val="24"/>
          <w:szCs w:val="24"/>
        </w:rPr>
        <w:t xml:space="preserve">each class </w:t>
      </w:r>
      <w:r w:rsidR="00903AD1">
        <w:rPr>
          <w:sz w:val="24"/>
          <w:szCs w:val="24"/>
        </w:rPr>
        <w:t xml:space="preserve">is viewed </w:t>
      </w:r>
      <w:r w:rsidR="00BA7750">
        <w:rPr>
          <w:sz w:val="24"/>
          <w:szCs w:val="24"/>
        </w:rPr>
        <w:t>as an investment</w:t>
      </w:r>
      <w:r w:rsidR="00FE6A4A">
        <w:rPr>
          <w:sz w:val="24"/>
          <w:szCs w:val="24"/>
        </w:rPr>
        <w:t>,</w:t>
      </w:r>
      <w:r w:rsidR="00BA7750">
        <w:rPr>
          <w:sz w:val="24"/>
          <w:szCs w:val="24"/>
        </w:rPr>
        <w:t xml:space="preserve"> and </w:t>
      </w:r>
      <w:r w:rsidR="003C2E5E">
        <w:rPr>
          <w:sz w:val="24"/>
          <w:szCs w:val="24"/>
        </w:rPr>
        <w:t xml:space="preserve">the discussion </w:t>
      </w:r>
      <w:r w:rsidR="00903AD1">
        <w:rPr>
          <w:sz w:val="24"/>
          <w:szCs w:val="24"/>
        </w:rPr>
        <w:t xml:space="preserve">is framed </w:t>
      </w:r>
      <w:r w:rsidR="003C2E5E">
        <w:rPr>
          <w:sz w:val="24"/>
          <w:szCs w:val="24"/>
        </w:rPr>
        <w:t xml:space="preserve">in terms of </w:t>
      </w:r>
      <w:r w:rsidR="0084699D">
        <w:rPr>
          <w:sz w:val="24"/>
          <w:szCs w:val="24"/>
        </w:rPr>
        <w:t>a</w:t>
      </w:r>
      <w:r w:rsidR="0017363F">
        <w:rPr>
          <w:sz w:val="24"/>
          <w:szCs w:val="24"/>
        </w:rPr>
        <w:t xml:space="preserve"> class’s financial performance relative to the system as a whole</w:t>
      </w:r>
      <w:r w:rsidR="003C2E5E">
        <w:rPr>
          <w:sz w:val="24"/>
          <w:szCs w:val="24"/>
        </w:rPr>
        <w:t>.  This is done</w:t>
      </w:r>
      <w:r w:rsidR="0017363F">
        <w:rPr>
          <w:sz w:val="24"/>
          <w:szCs w:val="24"/>
        </w:rPr>
        <w:t xml:space="preserve"> by indexing the rate of return provided by </w:t>
      </w:r>
      <w:r w:rsidR="0084699D">
        <w:rPr>
          <w:sz w:val="24"/>
          <w:szCs w:val="24"/>
        </w:rPr>
        <w:t>a</w:t>
      </w:r>
      <w:r w:rsidR="0017363F">
        <w:rPr>
          <w:sz w:val="24"/>
          <w:szCs w:val="24"/>
        </w:rPr>
        <w:t xml:space="preserve"> class to the overall </w:t>
      </w:r>
      <w:r w:rsidR="009B117E">
        <w:rPr>
          <w:sz w:val="24"/>
          <w:szCs w:val="24"/>
        </w:rPr>
        <w:t xml:space="preserve">rate of </w:t>
      </w:r>
      <w:r w:rsidR="0017363F">
        <w:rPr>
          <w:sz w:val="24"/>
          <w:szCs w:val="24"/>
        </w:rPr>
        <w:t>return provided by the system.</w:t>
      </w:r>
      <w:r w:rsidR="003C2E5E">
        <w:rPr>
          <w:sz w:val="24"/>
          <w:szCs w:val="24"/>
        </w:rPr>
        <w:t xml:space="preserve">  </w:t>
      </w:r>
      <w:r w:rsidR="00BA7750">
        <w:rPr>
          <w:sz w:val="24"/>
          <w:szCs w:val="24"/>
        </w:rPr>
        <w:t>The indexed value is referred to as a</w:t>
      </w:r>
      <w:r w:rsidR="003C2E5E">
        <w:rPr>
          <w:sz w:val="24"/>
          <w:szCs w:val="24"/>
        </w:rPr>
        <w:t xml:space="preserve"> class’s </w:t>
      </w:r>
      <w:r w:rsidR="00BA7750">
        <w:rPr>
          <w:sz w:val="24"/>
          <w:szCs w:val="24"/>
        </w:rPr>
        <w:t>“</w:t>
      </w:r>
      <w:r w:rsidR="003C2E5E">
        <w:rPr>
          <w:sz w:val="24"/>
          <w:szCs w:val="24"/>
        </w:rPr>
        <w:t>relative rate of return</w:t>
      </w:r>
      <w:r w:rsidR="00BA7750">
        <w:rPr>
          <w:sz w:val="24"/>
          <w:szCs w:val="24"/>
        </w:rPr>
        <w:t>” and</w:t>
      </w:r>
      <w:r w:rsidR="003C2E5E">
        <w:rPr>
          <w:sz w:val="24"/>
          <w:szCs w:val="24"/>
        </w:rPr>
        <w:t xml:space="preserve"> is equal to that class’s rate of return divided by the rate of return provided by the system.  </w:t>
      </w:r>
    </w:p>
    <w:p w:rsidR="001161E4" w:rsidRDefault="00BA7750" w:rsidP="006F20FF">
      <w:pPr>
        <w:spacing w:line="480" w:lineRule="auto"/>
        <w:ind w:left="720" w:firstLine="720"/>
        <w:jc w:val="both"/>
        <w:rPr>
          <w:sz w:val="24"/>
          <w:szCs w:val="24"/>
        </w:rPr>
      </w:pPr>
      <w:r>
        <w:rPr>
          <w:sz w:val="24"/>
          <w:szCs w:val="24"/>
        </w:rPr>
        <w:t>When revenues are set to cost</w:t>
      </w:r>
      <w:r w:rsidR="00E96538">
        <w:rPr>
          <w:sz w:val="24"/>
          <w:szCs w:val="24"/>
        </w:rPr>
        <w:t xml:space="preserve"> for all classes</w:t>
      </w:r>
      <w:r>
        <w:rPr>
          <w:sz w:val="24"/>
          <w:szCs w:val="24"/>
        </w:rPr>
        <w:t xml:space="preserve">, each class is </w:t>
      </w:r>
      <w:r w:rsidR="0084699D">
        <w:rPr>
          <w:sz w:val="24"/>
          <w:szCs w:val="24"/>
        </w:rPr>
        <w:t>providing</w:t>
      </w:r>
      <w:r>
        <w:rPr>
          <w:sz w:val="24"/>
          <w:szCs w:val="24"/>
        </w:rPr>
        <w:t xml:space="preserve"> a </w:t>
      </w:r>
      <w:r w:rsidR="009B117E">
        <w:rPr>
          <w:sz w:val="24"/>
          <w:szCs w:val="24"/>
        </w:rPr>
        <w:t xml:space="preserve">rate of </w:t>
      </w:r>
      <w:r>
        <w:rPr>
          <w:sz w:val="24"/>
          <w:szCs w:val="24"/>
        </w:rPr>
        <w:t xml:space="preserve">return that is equal to the </w:t>
      </w:r>
      <w:r w:rsidR="0084699D">
        <w:rPr>
          <w:sz w:val="24"/>
          <w:szCs w:val="24"/>
        </w:rPr>
        <w:t>system average</w:t>
      </w:r>
      <w:r w:rsidR="001976A1">
        <w:rPr>
          <w:sz w:val="24"/>
          <w:szCs w:val="24"/>
        </w:rPr>
        <w:t xml:space="preserve"> rate of return;</w:t>
      </w:r>
      <w:r>
        <w:rPr>
          <w:sz w:val="24"/>
          <w:szCs w:val="24"/>
        </w:rPr>
        <w:t xml:space="preserve"> </w:t>
      </w:r>
      <w:r w:rsidR="006F20FF">
        <w:rPr>
          <w:sz w:val="24"/>
          <w:szCs w:val="24"/>
        </w:rPr>
        <w:t>each class’s</w:t>
      </w:r>
      <w:r>
        <w:rPr>
          <w:sz w:val="24"/>
          <w:szCs w:val="24"/>
        </w:rPr>
        <w:t xml:space="preserve"> relative rate of return </w:t>
      </w:r>
      <w:r w:rsidR="009B117E">
        <w:rPr>
          <w:sz w:val="24"/>
          <w:szCs w:val="24"/>
        </w:rPr>
        <w:t>will be 1.0</w:t>
      </w:r>
      <w:r w:rsidR="006A0DFD">
        <w:rPr>
          <w:sz w:val="24"/>
          <w:szCs w:val="24"/>
        </w:rPr>
        <w:t>;</w:t>
      </w:r>
      <w:r w:rsidR="00E90B51">
        <w:rPr>
          <w:sz w:val="24"/>
          <w:szCs w:val="24"/>
        </w:rPr>
        <w:t xml:space="preserve"> and</w:t>
      </w:r>
      <w:r w:rsidR="006A0DFD">
        <w:rPr>
          <w:sz w:val="24"/>
          <w:szCs w:val="24"/>
        </w:rPr>
        <w:t>,</w:t>
      </w:r>
      <w:r w:rsidR="00E90B51">
        <w:rPr>
          <w:sz w:val="24"/>
          <w:szCs w:val="24"/>
        </w:rPr>
        <w:t xml:space="preserve"> this condition is </w:t>
      </w:r>
      <w:r>
        <w:rPr>
          <w:sz w:val="24"/>
          <w:szCs w:val="24"/>
        </w:rPr>
        <w:t>referred to as “unity.”</w:t>
      </w:r>
    </w:p>
    <w:p w:rsidR="00112476" w:rsidRPr="00112476" w:rsidRDefault="00112476" w:rsidP="00112476">
      <w:pPr>
        <w:spacing w:line="480" w:lineRule="auto"/>
        <w:ind w:left="720" w:hanging="720"/>
        <w:jc w:val="both"/>
        <w:rPr>
          <w:b/>
          <w:sz w:val="24"/>
          <w:szCs w:val="24"/>
        </w:rPr>
      </w:pPr>
      <w:r w:rsidRPr="00112476">
        <w:rPr>
          <w:b/>
          <w:sz w:val="24"/>
          <w:szCs w:val="24"/>
        </w:rPr>
        <w:t>Q.</w:t>
      </w:r>
      <w:r w:rsidRPr="00112476">
        <w:rPr>
          <w:b/>
          <w:sz w:val="24"/>
          <w:szCs w:val="24"/>
        </w:rPr>
        <w:tab/>
        <w:t>Do you support the Company’s proposal to set revenues at cost (i.e., unity)?</w:t>
      </w:r>
    </w:p>
    <w:p w:rsidR="00112476" w:rsidRDefault="00112476" w:rsidP="00112476">
      <w:pPr>
        <w:spacing w:line="480" w:lineRule="auto"/>
        <w:ind w:left="720" w:hanging="720"/>
        <w:jc w:val="both"/>
        <w:rPr>
          <w:sz w:val="24"/>
          <w:szCs w:val="24"/>
        </w:rPr>
      </w:pPr>
      <w:r>
        <w:rPr>
          <w:sz w:val="24"/>
          <w:szCs w:val="24"/>
        </w:rPr>
        <w:t>A.</w:t>
      </w:r>
      <w:r>
        <w:rPr>
          <w:sz w:val="24"/>
          <w:szCs w:val="24"/>
        </w:rPr>
        <w:tab/>
        <w:t xml:space="preserve">Yes.  </w:t>
      </w:r>
    </w:p>
    <w:p w:rsidR="001F5819" w:rsidRDefault="00763323" w:rsidP="00E3388B">
      <w:pPr>
        <w:spacing w:line="480" w:lineRule="auto"/>
        <w:ind w:left="720" w:hanging="720"/>
        <w:jc w:val="both"/>
        <w:rPr>
          <w:b/>
          <w:sz w:val="24"/>
          <w:szCs w:val="24"/>
        </w:rPr>
      </w:pPr>
      <w:r w:rsidRPr="00763323">
        <w:rPr>
          <w:b/>
          <w:sz w:val="24"/>
          <w:szCs w:val="24"/>
        </w:rPr>
        <w:lastRenderedPageBreak/>
        <w:t>Q.</w:t>
      </w:r>
      <w:r w:rsidRPr="00763323">
        <w:rPr>
          <w:b/>
          <w:sz w:val="24"/>
          <w:szCs w:val="24"/>
        </w:rPr>
        <w:tab/>
      </w:r>
      <w:r w:rsidR="00CB34BA">
        <w:rPr>
          <w:b/>
          <w:sz w:val="24"/>
          <w:szCs w:val="24"/>
        </w:rPr>
        <w:t>Would setting revenues directly to cost promote rate shock in this proceeding?</w:t>
      </w:r>
    </w:p>
    <w:p w:rsidR="00112476" w:rsidRDefault="00CB34BA" w:rsidP="00E3388B">
      <w:pPr>
        <w:spacing w:line="480" w:lineRule="auto"/>
        <w:ind w:left="720" w:hanging="720"/>
        <w:jc w:val="both"/>
        <w:rPr>
          <w:sz w:val="24"/>
          <w:szCs w:val="24"/>
        </w:rPr>
      </w:pPr>
      <w:r w:rsidRPr="00CB34BA">
        <w:rPr>
          <w:sz w:val="24"/>
          <w:szCs w:val="24"/>
        </w:rPr>
        <w:t>A.</w:t>
      </w:r>
      <w:r w:rsidRPr="00CB34BA">
        <w:rPr>
          <w:sz w:val="24"/>
          <w:szCs w:val="24"/>
        </w:rPr>
        <w:tab/>
        <w:t xml:space="preserve">No.  </w:t>
      </w:r>
      <w:r w:rsidR="00204A2F">
        <w:rPr>
          <w:sz w:val="24"/>
          <w:szCs w:val="24"/>
        </w:rPr>
        <w:t xml:space="preserve">Gradualism is not necessary in this proceeding.  </w:t>
      </w:r>
      <w:r>
        <w:rPr>
          <w:sz w:val="24"/>
          <w:szCs w:val="24"/>
        </w:rPr>
        <w:t>The larg</w:t>
      </w:r>
      <w:r w:rsidR="001B4F40">
        <w:rPr>
          <w:sz w:val="24"/>
          <w:szCs w:val="24"/>
        </w:rPr>
        <w:t xml:space="preserve">est increase to a single class, </w:t>
      </w:r>
      <w:r w:rsidR="001B4F40" w:rsidRPr="001B4F40">
        <w:rPr>
          <w:sz w:val="24"/>
          <w:szCs w:val="24"/>
        </w:rPr>
        <w:t>8.</w:t>
      </w:r>
      <w:r w:rsidR="00E21CF0">
        <w:rPr>
          <w:sz w:val="24"/>
          <w:szCs w:val="24"/>
        </w:rPr>
        <w:t>5</w:t>
      </w:r>
      <w:r w:rsidRPr="001B4F40">
        <w:rPr>
          <w:sz w:val="24"/>
          <w:szCs w:val="24"/>
        </w:rPr>
        <w:t>%</w:t>
      </w:r>
      <w:r>
        <w:rPr>
          <w:sz w:val="24"/>
          <w:szCs w:val="24"/>
        </w:rPr>
        <w:t xml:space="preserve"> for the </w:t>
      </w:r>
      <w:r w:rsidR="009314C4">
        <w:rPr>
          <w:sz w:val="24"/>
          <w:szCs w:val="24"/>
        </w:rPr>
        <w:t>Secondary-L</w:t>
      </w:r>
      <w:r w:rsidR="001B4F40">
        <w:rPr>
          <w:sz w:val="24"/>
          <w:szCs w:val="24"/>
        </w:rPr>
        <w:t>arge</w:t>
      </w:r>
      <w:r>
        <w:rPr>
          <w:sz w:val="24"/>
          <w:szCs w:val="24"/>
        </w:rPr>
        <w:t xml:space="preserve"> class, is moderate and does not promote rate shock.  </w:t>
      </w:r>
      <w:r w:rsidR="00A618D4">
        <w:rPr>
          <w:sz w:val="24"/>
          <w:szCs w:val="24"/>
        </w:rPr>
        <w:t>Even at the Company’s requested level of revenues</w:t>
      </w:r>
      <w:r w:rsidR="00E21CF0">
        <w:rPr>
          <w:sz w:val="24"/>
          <w:szCs w:val="24"/>
        </w:rPr>
        <w:t xml:space="preserve">, the largest increase </w:t>
      </w:r>
      <w:r w:rsidR="00AE1E4F">
        <w:rPr>
          <w:sz w:val="24"/>
          <w:szCs w:val="24"/>
        </w:rPr>
        <w:t xml:space="preserve">to a class </w:t>
      </w:r>
      <w:r w:rsidR="00E21CF0">
        <w:rPr>
          <w:sz w:val="24"/>
          <w:szCs w:val="24"/>
        </w:rPr>
        <w:t>is 13.4%</w:t>
      </w:r>
      <w:r w:rsidR="00A618D4">
        <w:rPr>
          <w:sz w:val="24"/>
          <w:szCs w:val="24"/>
        </w:rPr>
        <w:t xml:space="preserve">, which </w:t>
      </w:r>
      <w:r w:rsidR="00E21CF0">
        <w:rPr>
          <w:sz w:val="24"/>
          <w:szCs w:val="24"/>
        </w:rPr>
        <w:t>does not promote rate shock.</w:t>
      </w:r>
    </w:p>
    <w:p w:rsidR="00CB34BA" w:rsidRDefault="00CB34BA" w:rsidP="00112476">
      <w:pPr>
        <w:spacing w:line="480" w:lineRule="auto"/>
        <w:ind w:left="720" w:firstLine="720"/>
        <w:jc w:val="both"/>
        <w:rPr>
          <w:sz w:val="24"/>
          <w:szCs w:val="24"/>
        </w:rPr>
      </w:pPr>
      <w:r>
        <w:rPr>
          <w:sz w:val="24"/>
          <w:szCs w:val="24"/>
        </w:rPr>
        <w:t>It important to keep in</w:t>
      </w:r>
      <w:r w:rsidR="006A79C0">
        <w:rPr>
          <w:sz w:val="24"/>
          <w:szCs w:val="24"/>
        </w:rPr>
        <w:t xml:space="preserve"> mind that the retail delivery </w:t>
      </w:r>
      <w:r>
        <w:rPr>
          <w:sz w:val="24"/>
          <w:szCs w:val="24"/>
        </w:rPr>
        <w:t>charges to a custome</w:t>
      </w:r>
      <w:r w:rsidR="00BD36E5">
        <w:rPr>
          <w:sz w:val="24"/>
          <w:szCs w:val="24"/>
        </w:rPr>
        <w:t>r typically represent about one-</w:t>
      </w:r>
      <w:r>
        <w:rPr>
          <w:sz w:val="24"/>
          <w:szCs w:val="24"/>
        </w:rPr>
        <w:t>half of the customer’s total electric charges.</w:t>
      </w:r>
      <w:r w:rsidR="00112476">
        <w:rPr>
          <w:rStyle w:val="FootnoteReference"/>
          <w:sz w:val="24"/>
          <w:szCs w:val="24"/>
        </w:rPr>
        <w:footnoteReference w:id="99"/>
      </w:r>
      <w:r>
        <w:rPr>
          <w:sz w:val="24"/>
          <w:szCs w:val="24"/>
        </w:rPr>
        <w:t xml:space="preserve">  </w:t>
      </w:r>
      <w:r w:rsidR="00581D66">
        <w:rPr>
          <w:sz w:val="24"/>
          <w:szCs w:val="24"/>
        </w:rPr>
        <w:t xml:space="preserve">In Docket No. 40443, a base-rate case for a vertically integrated utility </w:t>
      </w:r>
      <w:r w:rsidR="00AE1E4F">
        <w:rPr>
          <w:sz w:val="24"/>
          <w:szCs w:val="24"/>
        </w:rPr>
        <w:t>to</w:t>
      </w:r>
      <w:r w:rsidR="00581D66">
        <w:rPr>
          <w:sz w:val="24"/>
          <w:szCs w:val="24"/>
        </w:rPr>
        <w:t xml:space="preserve"> determine </w:t>
      </w:r>
      <w:r w:rsidR="00AE1E4F">
        <w:rPr>
          <w:sz w:val="24"/>
          <w:szCs w:val="24"/>
        </w:rPr>
        <w:t>customers’</w:t>
      </w:r>
      <w:r w:rsidR="00581D66">
        <w:rPr>
          <w:sz w:val="24"/>
          <w:szCs w:val="24"/>
        </w:rPr>
        <w:t xml:space="preserve"> all-in electric charges, the Commission </w:t>
      </w:r>
      <w:r w:rsidR="0035527B">
        <w:rPr>
          <w:sz w:val="24"/>
          <w:szCs w:val="24"/>
        </w:rPr>
        <w:t>found that a</w:t>
      </w:r>
      <w:r w:rsidR="00750A9F">
        <w:rPr>
          <w:sz w:val="24"/>
          <w:szCs w:val="24"/>
        </w:rPr>
        <w:t>n</w:t>
      </w:r>
      <w:r w:rsidR="0035527B">
        <w:rPr>
          <w:sz w:val="24"/>
          <w:szCs w:val="24"/>
        </w:rPr>
        <w:t xml:space="preserve"> </w:t>
      </w:r>
      <w:r w:rsidR="00581D66" w:rsidRPr="00750A9F">
        <w:rPr>
          <w:sz w:val="24"/>
          <w:szCs w:val="24"/>
        </w:rPr>
        <w:t xml:space="preserve">increase of </w:t>
      </w:r>
      <w:r w:rsidR="0035527B" w:rsidRPr="00750A9F">
        <w:rPr>
          <w:sz w:val="24"/>
          <w:szCs w:val="24"/>
        </w:rPr>
        <w:t>29</w:t>
      </w:r>
      <w:r w:rsidR="00581D66" w:rsidRPr="00750A9F">
        <w:rPr>
          <w:sz w:val="24"/>
          <w:szCs w:val="24"/>
        </w:rPr>
        <w:t>%</w:t>
      </w:r>
      <w:r w:rsidR="0035527B" w:rsidRPr="00750A9F">
        <w:rPr>
          <w:sz w:val="24"/>
          <w:szCs w:val="24"/>
        </w:rPr>
        <w:t xml:space="preserve"> for a class did not warrant rate moderation</w:t>
      </w:r>
      <w:r w:rsidR="00581D66" w:rsidRPr="00750A9F">
        <w:rPr>
          <w:sz w:val="24"/>
          <w:szCs w:val="24"/>
        </w:rPr>
        <w:t>.</w:t>
      </w:r>
      <w:r w:rsidR="00606DB0" w:rsidRPr="00750A9F">
        <w:rPr>
          <w:rStyle w:val="FootnoteReference"/>
          <w:sz w:val="24"/>
          <w:szCs w:val="24"/>
        </w:rPr>
        <w:footnoteReference w:id="100"/>
      </w:r>
      <w:r w:rsidR="0035527B">
        <w:rPr>
          <w:sz w:val="24"/>
          <w:szCs w:val="24"/>
        </w:rPr>
        <w:t xml:space="preserve"> </w:t>
      </w:r>
      <w:r w:rsidR="005E61FA">
        <w:rPr>
          <w:sz w:val="24"/>
          <w:szCs w:val="24"/>
        </w:rPr>
        <w:t xml:space="preserve"> </w:t>
      </w:r>
      <w:r w:rsidR="0035527B">
        <w:rPr>
          <w:sz w:val="24"/>
          <w:szCs w:val="24"/>
        </w:rPr>
        <w:t>In this proceeding, t</w:t>
      </w:r>
      <w:r w:rsidR="00741D58">
        <w:rPr>
          <w:sz w:val="24"/>
          <w:szCs w:val="24"/>
        </w:rPr>
        <w:t xml:space="preserve">he highest increase to a </w:t>
      </w:r>
      <w:r w:rsidR="005E6AD2">
        <w:rPr>
          <w:sz w:val="24"/>
          <w:szCs w:val="24"/>
        </w:rPr>
        <w:t>class is well below that level.</w:t>
      </w:r>
    </w:p>
    <w:p w:rsidR="00763323" w:rsidRPr="00C03033" w:rsidRDefault="00C03033" w:rsidP="00E3388B">
      <w:pPr>
        <w:spacing w:line="480" w:lineRule="auto"/>
        <w:ind w:left="720" w:hanging="720"/>
        <w:jc w:val="both"/>
        <w:rPr>
          <w:b/>
          <w:sz w:val="24"/>
          <w:szCs w:val="24"/>
        </w:rPr>
      </w:pPr>
      <w:r w:rsidRPr="00C03033">
        <w:rPr>
          <w:b/>
          <w:sz w:val="24"/>
          <w:szCs w:val="24"/>
        </w:rPr>
        <w:lastRenderedPageBreak/>
        <w:t>Q.</w:t>
      </w:r>
      <w:r w:rsidRPr="00C03033">
        <w:rPr>
          <w:b/>
          <w:sz w:val="24"/>
          <w:szCs w:val="24"/>
        </w:rPr>
        <w:tab/>
        <w:t>At what level do you recommend that revenues be set for each class?</w:t>
      </w:r>
    </w:p>
    <w:p w:rsidR="00C03033" w:rsidRPr="00E3388B" w:rsidRDefault="00C03033" w:rsidP="00C03033">
      <w:pPr>
        <w:spacing w:line="480" w:lineRule="auto"/>
        <w:ind w:left="720" w:hanging="720"/>
        <w:jc w:val="both"/>
        <w:rPr>
          <w:sz w:val="24"/>
          <w:szCs w:val="24"/>
        </w:rPr>
      </w:pPr>
      <w:r>
        <w:rPr>
          <w:sz w:val="24"/>
          <w:szCs w:val="24"/>
        </w:rPr>
        <w:t>A.</w:t>
      </w:r>
      <w:r>
        <w:rPr>
          <w:sz w:val="24"/>
          <w:szCs w:val="24"/>
        </w:rPr>
        <w:tab/>
        <w:t xml:space="preserve">To cost of service as </w:t>
      </w:r>
      <w:r w:rsidR="00FF724A">
        <w:rPr>
          <w:sz w:val="24"/>
          <w:szCs w:val="24"/>
        </w:rPr>
        <w:t>shown above in T</w:t>
      </w:r>
      <w:r>
        <w:rPr>
          <w:sz w:val="24"/>
          <w:szCs w:val="24"/>
        </w:rPr>
        <w:t xml:space="preserve">able </w:t>
      </w:r>
      <w:r w:rsidR="00FF724A" w:rsidRPr="00D35DAF">
        <w:rPr>
          <w:sz w:val="24"/>
          <w:szCs w:val="24"/>
        </w:rPr>
        <w:t>BTM-</w:t>
      </w:r>
      <w:r w:rsidR="00D35DAF" w:rsidRPr="00D35DAF">
        <w:rPr>
          <w:sz w:val="24"/>
          <w:szCs w:val="24"/>
        </w:rPr>
        <w:t>10</w:t>
      </w:r>
      <w:r w:rsidRPr="00D35DAF">
        <w:rPr>
          <w:sz w:val="24"/>
          <w:szCs w:val="24"/>
        </w:rPr>
        <w:t>.</w:t>
      </w:r>
    </w:p>
    <w:p w:rsidR="00695E65" w:rsidRDefault="00550CEC" w:rsidP="003551CC">
      <w:pPr>
        <w:pStyle w:val="Heading1"/>
        <w:numPr>
          <w:ilvl w:val="0"/>
          <w:numId w:val="1"/>
        </w:numPr>
        <w:spacing w:line="480" w:lineRule="auto"/>
        <w:jc w:val="both"/>
        <w:rPr>
          <w:sz w:val="24"/>
          <w:szCs w:val="24"/>
        </w:rPr>
      </w:pPr>
      <w:bookmarkStart w:id="26" w:name="_Toc11215214"/>
      <w:r>
        <w:rPr>
          <w:sz w:val="24"/>
          <w:szCs w:val="24"/>
        </w:rPr>
        <w:t xml:space="preserve">RETAIL </w:t>
      </w:r>
      <w:r w:rsidR="000B56C2">
        <w:rPr>
          <w:sz w:val="24"/>
          <w:szCs w:val="24"/>
        </w:rPr>
        <w:t>CLASS RATE DESIGN</w:t>
      </w:r>
      <w:bookmarkEnd w:id="26"/>
    </w:p>
    <w:p w:rsidR="006F6D98" w:rsidRPr="00992618" w:rsidRDefault="006F6D98" w:rsidP="006F6D98">
      <w:pPr>
        <w:spacing w:line="480" w:lineRule="auto"/>
        <w:ind w:left="720" w:hanging="720"/>
        <w:jc w:val="both"/>
        <w:rPr>
          <w:b/>
          <w:sz w:val="24"/>
          <w:szCs w:val="24"/>
        </w:rPr>
      </w:pPr>
      <w:r w:rsidRPr="00992618">
        <w:rPr>
          <w:b/>
          <w:sz w:val="24"/>
          <w:szCs w:val="24"/>
        </w:rPr>
        <w:t>Q.</w:t>
      </w:r>
      <w:r w:rsidRPr="00992618">
        <w:rPr>
          <w:b/>
          <w:sz w:val="24"/>
          <w:szCs w:val="24"/>
        </w:rPr>
        <w:tab/>
      </w:r>
      <w:r>
        <w:rPr>
          <w:b/>
          <w:sz w:val="24"/>
          <w:szCs w:val="24"/>
        </w:rPr>
        <w:t>Have you calculated rates for each rate class consistent with Staff’s recommendations?</w:t>
      </w:r>
    </w:p>
    <w:p w:rsidR="00004103" w:rsidRPr="006F6D98" w:rsidRDefault="006F6D98" w:rsidP="006F6D98">
      <w:pPr>
        <w:spacing w:line="480" w:lineRule="auto"/>
        <w:ind w:left="720" w:hanging="720"/>
        <w:jc w:val="both"/>
        <w:rPr>
          <w:sz w:val="24"/>
          <w:szCs w:val="24"/>
        </w:rPr>
      </w:pPr>
      <w:r w:rsidRPr="00226BDF">
        <w:rPr>
          <w:sz w:val="24"/>
          <w:szCs w:val="24"/>
        </w:rPr>
        <w:t>A.</w:t>
      </w:r>
      <w:r w:rsidRPr="00226BDF">
        <w:rPr>
          <w:sz w:val="24"/>
          <w:szCs w:val="24"/>
        </w:rPr>
        <w:tab/>
        <w:t xml:space="preserve">Yes.  Staff’s recommended retail rates can be found in </w:t>
      </w:r>
      <w:r w:rsidRPr="00D35DAF">
        <w:rPr>
          <w:sz w:val="24"/>
          <w:szCs w:val="24"/>
        </w:rPr>
        <w:t xml:space="preserve">Attachment </w:t>
      </w:r>
      <w:r w:rsidR="00D35DAF" w:rsidRPr="00D35DAF">
        <w:rPr>
          <w:sz w:val="24"/>
          <w:szCs w:val="24"/>
        </w:rPr>
        <w:t>BTM-7</w:t>
      </w:r>
      <w:r w:rsidRPr="00D35DAF">
        <w:rPr>
          <w:sz w:val="24"/>
          <w:szCs w:val="24"/>
        </w:rPr>
        <w:t>.</w:t>
      </w:r>
    </w:p>
    <w:p w:rsidR="00F8702D" w:rsidRPr="00F8702D" w:rsidRDefault="00550CEC" w:rsidP="00F8702D">
      <w:pPr>
        <w:pStyle w:val="Heading1"/>
        <w:numPr>
          <w:ilvl w:val="0"/>
          <w:numId w:val="1"/>
        </w:numPr>
        <w:spacing w:line="480" w:lineRule="auto"/>
        <w:jc w:val="both"/>
        <w:rPr>
          <w:sz w:val="24"/>
          <w:szCs w:val="24"/>
        </w:rPr>
      </w:pPr>
      <w:bookmarkStart w:id="27" w:name="_Toc11215215"/>
      <w:r>
        <w:rPr>
          <w:sz w:val="24"/>
          <w:szCs w:val="24"/>
        </w:rPr>
        <w:t xml:space="preserve">RETAIL </w:t>
      </w:r>
      <w:r w:rsidR="00F8702D">
        <w:rPr>
          <w:sz w:val="24"/>
          <w:szCs w:val="24"/>
        </w:rPr>
        <w:t>TARIFF PROVISIONS – LED LIGHTING</w:t>
      </w:r>
      <w:bookmarkEnd w:id="27"/>
    </w:p>
    <w:p w:rsidR="00695E65" w:rsidRDefault="00F8702D" w:rsidP="00880640">
      <w:pPr>
        <w:spacing w:line="480" w:lineRule="auto"/>
        <w:ind w:left="720" w:hanging="720"/>
        <w:rPr>
          <w:b/>
          <w:sz w:val="24"/>
          <w:szCs w:val="24"/>
        </w:rPr>
      </w:pPr>
      <w:r>
        <w:rPr>
          <w:b/>
          <w:sz w:val="24"/>
          <w:szCs w:val="24"/>
        </w:rPr>
        <w:t>Q.</w:t>
      </w:r>
      <w:r>
        <w:rPr>
          <w:b/>
          <w:sz w:val="24"/>
          <w:szCs w:val="24"/>
        </w:rPr>
        <w:tab/>
      </w:r>
      <w:r w:rsidR="008E3375">
        <w:rPr>
          <w:b/>
          <w:sz w:val="24"/>
          <w:szCs w:val="24"/>
        </w:rPr>
        <w:t>Do you take issue with any of the Company’s amendments to its retail tariff</w:t>
      </w:r>
      <w:r>
        <w:rPr>
          <w:b/>
          <w:sz w:val="24"/>
          <w:szCs w:val="24"/>
        </w:rPr>
        <w:t>?</w:t>
      </w:r>
    </w:p>
    <w:p w:rsidR="00F8702D" w:rsidRDefault="00F8702D" w:rsidP="007A7739">
      <w:pPr>
        <w:spacing w:line="480" w:lineRule="auto"/>
        <w:ind w:left="720" w:hanging="720"/>
        <w:rPr>
          <w:sz w:val="24"/>
          <w:szCs w:val="24"/>
        </w:rPr>
      </w:pPr>
      <w:r w:rsidRPr="00F8702D">
        <w:rPr>
          <w:sz w:val="24"/>
          <w:szCs w:val="24"/>
        </w:rPr>
        <w:t>A.</w:t>
      </w:r>
      <w:r w:rsidRPr="00F8702D">
        <w:rPr>
          <w:sz w:val="24"/>
          <w:szCs w:val="24"/>
        </w:rPr>
        <w:tab/>
        <w:t xml:space="preserve">Yes.  </w:t>
      </w:r>
      <w:r w:rsidR="007A7739">
        <w:rPr>
          <w:sz w:val="24"/>
          <w:szCs w:val="24"/>
        </w:rPr>
        <w:t>T</w:t>
      </w:r>
      <w:r w:rsidRPr="00F8702D">
        <w:rPr>
          <w:sz w:val="24"/>
          <w:szCs w:val="24"/>
        </w:rPr>
        <w:t xml:space="preserve">he Company </w:t>
      </w:r>
      <w:r>
        <w:rPr>
          <w:sz w:val="24"/>
          <w:szCs w:val="24"/>
        </w:rPr>
        <w:t xml:space="preserve">has proposed to </w:t>
      </w:r>
      <w:r w:rsidR="007A7739">
        <w:rPr>
          <w:sz w:val="24"/>
          <w:szCs w:val="24"/>
        </w:rPr>
        <w:t>amend</w:t>
      </w:r>
      <w:r>
        <w:rPr>
          <w:sz w:val="24"/>
          <w:szCs w:val="24"/>
        </w:rPr>
        <w:t xml:space="preserve"> the tariff provisions under its lighting rate schedule,</w:t>
      </w:r>
      <w:r w:rsidR="000F63AE">
        <w:rPr>
          <w:rStyle w:val="FootnoteReference"/>
          <w:sz w:val="24"/>
          <w:szCs w:val="24"/>
        </w:rPr>
        <w:footnoteReference w:id="101"/>
      </w:r>
      <w:r>
        <w:rPr>
          <w:sz w:val="24"/>
          <w:szCs w:val="24"/>
        </w:rPr>
        <w:t xml:space="preserve"> as follows:</w:t>
      </w:r>
    </w:p>
    <w:p w:rsidR="00C465A8" w:rsidRDefault="00C465A8" w:rsidP="00C465A8">
      <w:pPr>
        <w:ind w:left="1440" w:right="720"/>
        <w:jc w:val="both"/>
        <w:rPr>
          <w:sz w:val="24"/>
          <w:szCs w:val="24"/>
        </w:rPr>
      </w:pPr>
      <w:r w:rsidRPr="0081733F">
        <w:rPr>
          <w:color w:val="2E74B5" w:themeColor="accent1" w:themeShade="BF"/>
          <w:sz w:val="24"/>
          <w:szCs w:val="24"/>
          <w:u w:val="single"/>
        </w:rPr>
        <w:t>The Company’s standard Lamp type for all street lighting service installations and replacements is Light Emitting Diode (LED). A Retail customer’s request for a non-standard Lamp type will be subject to the availability of the Lamp type in Company’s inventory. The Company is no longer procuring non-standard Lamp types for its inventory</w:t>
      </w:r>
      <w:r>
        <w:rPr>
          <w:sz w:val="24"/>
          <w:szCs w:val="24"/>
        </w:rPr>
        <w:t>.</w:t>
      </w:r>
      <w:r w:rsidR="007A7739">
        <w:rPr>
          <w:rStyle w:val="FootnoteReference"/>
          <w:sz w:val="24"/>
          <w:szCs w:val="24"/>
        </w:rPr>
        <w:footnoteReference w:id="102"/>
      </w:r>
    </w:p>
    <w:p w:rsidR="0081733F" w:rsidRDefault="0081733F" w:rsidP="00C465A8">
      <w:pPr>
        <w:ind w:left="1440" w:right="720"/>
        <w:jc w:val="both"/>
        <w:rPr>
          <w:sz w:val="24"/>
          <w:szCs w:val="24"/>
        </w:rPr>
      </w:pPr>
    </w:p>
    <w:p w:rsidR="00114457" w:rsidRDefault="00114457" w:rsidP="00C465A8">
      <w:pPr>
        <w:ind w:left="1440" w:right="720"/>
        <w:jc w:val="both"/>
        <w:rPr>
          <w:sz w:val="24"/>
          <w:szCs w:val="24"/>
        </w:rPr>
      </w:pPr>
      <w:r>
        <w:rPr>
          <w:sz w:val="24"/>
          <w:szCs w:val="24"/>
        </w:rPr>
        <w:t>…</w:t>
      </w:r>
    </w:p>
    <w:p w:rsidR="00114457" w:rsidRDefault="00114457" w:rsidP="00C465A8">
      <w:pPr>
        <w:ind w:left="1440" w:right="720"/>
        <w:jc w:val="both"/>
        <w:rPr>
          <w:sz w:val="24"/>
          <w:szCs w:val="24"/>
        </w:rPr>
      </w:pPr>
    </w:p>
    <w:p w:rsidR="0081733F" w:rsidRPr="00EE56BF" w:rsidRDefault="0081733F" w:rsidP="0081733F">
      <w:pPr>
        <w:autoSpaceDE w:val="0"/>
        <w:autoSpaceDN w:val="0"/>
        <w:adjustRightInd w:val="0"/>
        <w:ind w:left="1440" w:right="720"/>
        <w:jc w:val="both"/>
        <w:rPr>
          <w:strike/>
          <w:color w:val="2E74B5" w:themeColor="accent1" w:themeShade="BF"/>
          <w:sz w:val="24"/>
          <w:szCs w:val="24"/>
        </w:rPr>
      </w:pPr>
      <w:r w:rsidRPr="00EE56BF">
        <w:rPr>
          <w:color w:val="2E74B5" w:themeColor="accent1" w:themeShade="BF"/>
          <w:sz w:val="24"/>
          <w:szCs w:val="24"/>
          <w:u w:val="single"/>
        </w:rPr>
        <w:t>Conversion to LED</w:t>
      </w:r>
      <w:r w:rsidRPr="00EE56BF">
        <w:rPr>
          <w:color w:val="2E74B5" w:themeColor="accent1" w:themeShade="BF"/>
          <w:sz w:val="24"/>
          <w:szCs w:val="24"/>
        </w:rPr>
        <w:t>.</w:t>
      </w:r>
      <w:r w:rsidRPr="0081733F">
        <w:rPr>
          <w:color w:val="2E98D4"/>
          <w:sz w:val="24"/>
          <w:szCs w:val="24"/>
        </w:rPr>
        <w:t xml:space="preserve"> </w:t>
      </w:r>
      <w:r w:rsidRPr="0081733F">
        <w:rPr>
          <w:color w:val="000000"/>
          <w:sz w:val="24"/>
          <w:szCs w:val="24"/>
        </w:rPr>
        <w:t xml:space="preserve">Existing </w:t>
      </w:r>
      <w:r w:rsidRPr="00EE56BF">
        <w:rPr>
          <w:strike/>
          <w:color w:val="2E74B5" w:themeColor="accent1" w:themeShade="BF"/>
          <w:sz w:val="24"/>
          <w:szCs w:val="24"/>
        </w:rPr>
        <w:t>mercury vapor installations</w:t>
      </w:r>
      <w:r w:rsidRPr="00EE56BF">
        <w:rPr>
          <w:color w:val="2E74B5" w:themeColor="accent1" w:themeShade="BF"/>
          <w:sz w:val="24"/>
          <w:szCs w:val="24"/>
        </w:rPr>
        <w:t xml:space="preserve"> non-LED Lamps </w:t>
      </w:r>
      <w:r w:rsidRPr="0081733F">
        <w:rPr>
          <w:color w:val="000000"/>
          <w:sz w:val="24"/>
          <w:szCs w:val="24"/>
        </w:rPr>
        <w:t xml:space="preserve">will be converted </w:t>
      </w:r>
      <w:r w:rsidRPr="00EE56BF">
        <w:rPr>
          <w:color w:val="2E74B5" w:themeColor="accent1" w:themeShade="BF"/>
          <w:sz w:val="24"/>
          <w:szCs w:val="24"/>
          <w:u w:val="single"/>
        </w:rPr>
        <w:t>to their LED-equivalent at no cost to Retail Customer</w:t>
      </w:r>
      <w:r w:rsidRPr="00EE56BF">
        <w:rPr>
          <w:color w:val="2E74B5" w:themeColor="accent1" w:themeShade="BF"/>
          <w:sz w:val="24"/>
          <w:szCs w:val="24"/>
        </w:rPr>
        <w:t xml:space="preserve"> </w:t>
      </w:r>
      <w:r w:rsidRPr="0081733F">
        <w:rPr>
          <w:color w:val="000000"/>
          <w:sz w:val="24"/>
          <w:szCs w:val="24"/>
        </w:rPr>
        <w:t>during the normal course of maintenance when individual lamps burn out</w:t>
      </w:r>
      <w:r w:rsidRPr="0081733F">
        <w:rPr>
          <w:color w:val="2E98D4"/>
          <w:sz w:val="24"/>
          <w:szCs w:val="24"/>
        </w:rPr>
        <w:t xml:space="preserve">. </w:t>
      </w:r>
      <w:r w:rsidRPr="00EE56BF">
        <w:rPr>
          <w:strike/>
          <w:color w:val="2E74B5" w:themeColor="accent1" w:themeShade="BF"/>
          <w:sz w:val="24"/>
          <w:szCs w:val="24"/>
        </w:rPr>
        <w:t xml:space="preserve">Mercury vapor </w:t>
      </w:r>
      <w:r w:rsidRPr="00EE56BF">
        <w:rPr>
          <w:strike/>
          <w:color w:val="2E74B5" w:themeColor="accent1" w:themeShade="BF"/>
          <w:sz w:val="24"/>
          <w:szCs w:val="24"/>
        </w:rPr>
        <w:lastRenderedPageBreak/>
        <w:t>installations will be converted to high pressure sodium lamps or LED equivalents, depending upon the standard street light installation, as selected by the Retail Customer, for the area in which the mercury vapor light resides, at no upfront cost to the</w:t>
      </w:r>
      <w:r w:rsidRPr="00EE56BF">
        <w:rPr>
          <w:color w:val="2E74B5" w:themeColor="accent1" w:themeShade="BF"/>
          <w:sz w:val="24"/>
          <w:szCs w:val="24"/>
        </w:rPr>
        <w:t xml:space="preserve"> </w:t>
      </w:r>
      <w:r w:rsidRPr="00EE56BF">
        <w:rPr>
          <w:color w:val="2E74B5" w:themeColor="accent1" w:themeShade="BF"/>
          <w:sz w:val="24"/>
          <w:szCs w:val="24"/>
          <w:u w:val="single"/>
        </w:rPr>
        <w:t>unless Company and</w:t>
      </w:r>
      <w:r w:rsidRPr="00EE56BF">
        <w:rPr>
          <w:color w:val="2E74B5" w:themeColor="accent1" w:themeShade="BF"/>
          <w:sz w:val="24"/>
          <w:szCs w:val="24"/>
        </w:rPr>
        <w:t xml:space="preserve"> </w:t>
      </w:r>
      <w:r w:rsidRPr="0081733F">
        <w:rPr>
          <w:color w:val="000000"/>
          <w:sz w:val="24"/>
          <w:szCs w:val="24"/>
        </w:rPr>
        <w:t>Retail Customer</w:t>
      </w:r>
      <w:r w:rsidRPr="0081733F">
        <w:rPr>
          <w:color w:val="2E98D4"/>
          <w:sz w:val="24"/>
          <w:szCs w:val="24"/>
        </w:rPr>
        <w:t xml:space="preserve"> </w:t>
      </w:r>
      <w:r w:rsidRPr="00EE56BF">
        <w:rPr>
          <w:color w:val="2E74B5" w:themeColor="accent1" w:themeShade="BF"/>
          <w:sz w:val="24"/>
          <w:szCs w:val="24"/>
          <w:u w:val="single"/>
        </w:rPr>
        <w:t xml:space="preserve">agree on </w:t>
      </w:r>
      <w:r w:rsidRPr="00EE56BF">
        <w:rPr>
          <w:strike/>
          <w:color w:val="2E74B5" w:themeColor="accent1" w:themeShade="BF"/>
          <w:sz w:val="24"/>
          <w:szCs w:val="24"/>
        </w:rPr>
        <w:t xml:space="preserve">LED Street Lights At this time there is not an LED replacement option for all existing Lamp Types. The rate at which LED street lights are converted or installed will be at the sole discretion of the Company, may be based upon </w:t>
      </w:r>
      <w:r w:rsidRPr="00B64094">
        <w:rPr>
          <w:sz w:val="24"/>
          <w:szCs w:val="24"/>
        </w:rPr>
        <w:t xml:space="preserve">a </w:t>
      </w:r>
      <w:r w:rsidRPr="00EE56BF">
        <w:rPr>
          <w:strike/>
          <w:color w:val="2E74B5" w:themeColor="accent1" w:themeShade="BF"/>
          <w:sz w:val="24"/>
          <w:szCs w:val="24"/>
        </w:rPr>
        <w:t>negotiated deployment</w:t>
      </w:r>
      <w:r w:rsidRPr="00EE56BF">
        <w:rPr>
          <w:color w:val="2E74B5" w:themeColor="accent1" w:themeShade="BF"/>
          <w:sz w:val="24"/>
          <w:szCs w:val="24"/>
        </w:rPr>
        <w:t xml:space="preserve"> different conversion </w:t>
      </w:r>
      <w:r w:rsidRPr="0081733F">
        <w:rPr>
          <w:color w:val="000000"/>
          <w:sz w:val="24"/>
          <w:szCs w:val="24"/>
        </w:rPr>
        <w:t>schedule</w:t>
      </w:r>
      <w:r w:rsidRPr="00EE56BF">
        <w:rPr>
          <w:strike/>
          <w:color w:val="2E74B5" w:themeColor="accent1" w:themeShade="BF"/>
          <w:sz w:val="24"/>
          <w:szCs w:val="24"/>
        </w:rPr>
        <w:t>., and will reflect, at a minimum, the capital requirements associated with the project, any customer required contribution in aid of construction, the physical capability to replace/install the LED street lights, and the availability of manufacturers to supply the requested LED luminaires.   LED street lights are an emerging technology with no established industry standard.</w:t>
      </w:r>
      <w:r w:rsidRPr="00EE56BF">
        <w:rPr>
          <w:rStyle w:val="FootnoteReference"/>
          <w:strike/>
          <w:color w:val="2E74B5" w:themeColor="accent1" w:themeShade="BF"/>
          <w:sz w:val="24"/>
          <w:szCs w:val="24"/>
        </w:rPr>
        <w:footnoteReference w:id="103"/>
      </w:r>
    </w:p>
    <w:p w:rsidR="00286ABA" w:rsidRDefault="00F8702D" w:rsidP="00286ABA">
      <w:pPr>
        <w:ind w:left="720" w:hanging="720"/>
        <w:jc w:val="both"/>
        <w:rPr>
          <w:sz w:val="24"/>
          <w:szCs w:val="24"/>
        </w:rPr>
      </w:pPr>
      <w:r>
        <w:rPr>
          <w:sz w:val="24"/>
          <w:szCs w:val="24"/>
        </w:rPr>
        <w:tab/>
      </w:r>
      <w:r>
        <w:rPr>
          <w:sz w:val="24"/>
          <w:szCs w:val="24"/>
        </w:rPr>
        <w:tab/>
      </w:r>
    </w:p>
    <w:p w:rsidR="00F8702D" w:rsidRDefault="00F8702D" w:rsidP="00286ABA">
      <w:pPr>
        <w:spacing w:line="480" w:lineRule="auto"/>
        <w:ind w:left="720" w:firstLine="720"/>
        <w:jc w:val="both"/>
        <w:rPr>
          <w:sz w:val="24"/>
          <w:szCs w:val="24"/>
        </w:rPr>
      </w:pPr>
      <w:r>
        <w:rPr>
          <w:sz w:val="24"/>
          <w:szCs w:val="24"/>
        </w:rPr>
        <w:t xml:space="preserve">The tariff revisions have the effect of significantly reducing customer choice with respect to lamp type.  </w:t>
      </w:r>
      <w:r w:rsidR="00226AF4">
        <w:rPr>
          <w:sz w:val="24"/>
          <w:szCs w:val="24"/>
        </w:rPr>
        <w:t xml:space="preserve">With respect to </w:t>
      </w:r>
      <w:r w:rsidR="00A85BF4">
        <w:rPr>
          <w:sz w:val="24"/>
          <w:szCs w:val="24"/>
        </w:rPr>
        <w:t xml:space="preserve">new installations and </w:t>
      </w:r>
      <w:r w:rsidR="00226AF4">
        <w:rPr>
          <w:sz w:val="24"/>
          <w:szCs w:val="24"/>
        </w:rPr>
        <w:t>replacements of existing installations, LED lighting would be installed unless the customer requests a non-LED lamp type, and only then if the Company has the non-LED alternative on hand in its inventory.</w:t>
      </w:r>
      <w:r w:rsidR="00A85BF4">
        <w:rPr>
          <w:rStyle w:val="FootnoteReference"/>
          <w:sz w:val="24"/>
          <w:szCs w:val="24"/>
        </w:rPr>
        <w:footnoteReference w:id="104"/>
      </w:r>
      <w:r w:rsidR="00226AF4">
        <w:rPr>
          <w:sz w:val="24"/>
          <w:szCs w:val="24"/>
        </w:rPr>
        <w:t xml:space="preserve"> </w:t>
      </w:r>
      <w:r w:rsidR="00A85BF4">
        <w:rPr>
          <w:sz w:val="24"/>
          <w:szCs w:val="24"/>
        </w:rPr>
        <w:t xml:space="preserve"> </w:t>
      </w:r>
      <w:r w:rsidR="00226AF4">
        <w:rPr>
          <w:sz w:val="24"/>
          <w:szCs w:val="24"/>
        </w:rPr>
        <w:t>Additionally, the Company would not replenish its current inventory of non-LED lamp types.</w:t>
      </w:r>
      <w:r w:rsidR="00852010">
        <w:rPr>
          <w:rStyle w:val="FootnoteReference"/>
          <w:sz w:val="24"/>
          <w:szCs w:val="24"/>
        </w:rPr>
        <w:footnoteReference w:id="105"/>
      </w:r>
      <w:r w:rsidR="00226AF4">
        <w:rPr>
          <w:sz w:val="24"/>
          <w:szCs w:val="24"/>
        </w:rPr>
        <w:t xml:space="preserve"> </w:t>
      </w:r>
    </w:p>
    <w:p w:rsidR="00226AF4" w:rsidRPr="006F103C" w:rsidRDefault="006F103C" w:rsidP="00130503">
      <w:pPr>
        <w:spacing w:line="480" w:lineRule="auto"/>
        <w:ind w:left="720" w:hanging="720"/>
        <w:jc w:val="both"/>
        <w:rPr>
          <w:b/>
          <w:sz w:val="24"/>
          <w:szCs w:val="24"/>
        </w:rPr>
      </w:pPr>
      <w:r w:rsidRPr="006F103C">
        <w:rPr>
          <w:b/>
          <w:sz w:val="24"/>
          <w:szCs w:val="24"/>
        </w:rPr>
        <w:lastRenderedPageBreak/>
        <w:t>Q.</w:t>
      </w:r>
      <w:r w:rsidRPr="006F103C">
        <w:rPr>
          <w:b/>
          <w:sz w:val="24"/>
          <w:szCs w:val="24"/>
        </w:rPr>
        <w:tab/>
        <w:t>Please generally describe the Company’s lighting service.</w:t>
      </w:r>
    </w:p>
    <w:p w:rsidR="00641DFE" w:rsidRPr="006D0098" w:rsidRDefault="006F103C" w:rsidP="00130503">
      <w:pPr>
        <w:spacing w:line="480" w:lineRule="auto"/>
        <w:ind w:left="720" w:hanging="720"/>
        <w:jc w:val="both"/>
        <w:rPr>
          <w:sz w:val="24"/>
          <w:szCs w:val="24"/>
        </w:rPr>
      </w:pPr>
      <w:r>
        <w:rPr>
          <w:sz w:val="24"/>
          <w:szCs w:val="24"/>
        </w:rPr>
        <w:t>A.</w:t>
      </w:r>
      <w:r>
        <w:rPr>
          <w:sz w:val="24"/>
          <w:szCs w:val="24"/>
        </w:rPr>
        <w:tab/>
      </w:r>
      <w:r w:rsidR="00130503">
        <w:rPr>
          <w:sz w:val="24"/>
          <w:szCs w:val="24"/>
        </w:rPr>
        <w:t>The Company provides street lighting services to</w:t>
      </w:r>
      <w:r w:rsidR="00130503" w:rsidRPr="00130503">
        <w:rPr>
          <w:sz w:val="24"/>
          <w:szCs w:val="24"/>
        </w:rPr>
        <w:t xml:space="preserve"> municipalities, government agencies, re</w:t>
      </w:r>
      <w:r w:rsidR="00605880">
        <w:rPr>
          <w:sz w:val="24"/>
          <w:szCs w:val="24"/>
        </w:rPr>
        <w:t>al estate developers, and other entities that</w:t>
      </w:r>
      <w:r w:rsidR="00130503" w:rsidRPr="00130503">
        <w:rPr>
          <w:sz w:val="24"/>
          <w:szCs w:val="24"/>
        </w:rPr>
        <w:t xml:space="preserve"> requ</w:t>
      </w:r>
      <w:r w:rsidR="00605880">
        <w:rPr>
          <w:sz w:val="24"/>
          <w:szCs w:val="24"/>
        </w:rPr>
        <w:t>ire street lighting services.</w:t>
      </w:r>
      <w:r w:rsidR="00EA66AC">
        <w:rPr>
          <w:rStyle w:val="FootnoteReference"/>
          <w:sz w:val="24"/>
          <w:szCs w:val="24"/>
        </w:rPr>
        <w:footnoteReference w:id="106"/>
      </w:r>
      <w:r w:rsidR="00605880">
        <w:rPr>
          <w:sz w:val="24"/>
          <w:szCs w:val="24"/>
        </w:rPr>
        <w:t xml:space="preserve">  </w:t>
      </w:r>
      <w:r w:rsidR="00641DFE">
        <w:rPr>
          <w:sz w:val="24"/>
          <w:szCs w:val="24"/>
        </w:rPr>
        <w:t xml:space="preserve">The lighting tariff includes </w:t>
      </w:r>
      <w:r w:rsidR="00233517">
        <w:rPr>
          <w:sz w:val="24"/>
          <w:szCs w:val="24"/>
        </w:rPr>
        <w:t>a</w:t>
      </w:r>
      <w:r w:rsidR="00641DFE">
        <w:rPr>
          <w:sz w:val="24"/>
          <w:szCs w:val="24"/>
        </w:rPr>
        <w:t xml:space="preserve"> s</w:t>
      </w:r>
      <w:r w:rsidR="00233517">
        <w:rPr>
          <w:sz w:val="24"/>
          <w:szCs w:val="24"/>
        </w:rPr>
        <w:t>chedule</w:t>
      </w:r>
      <w:r w:rsidR="00641DFE">
        <w:rPr>
          <w:sz w:val="24"/>
          <w:szCs w:val="24"/>
        </w:rPr>
        <w:t xml:space="preserve"> of </w:t>
      </w:r>
      <w:r w:rsidR="00233517" w:rsidRPr="00796806">
        <w:rPr>
          <w:i/>
          <w:sz w:val="24"/>
          <w:szCs w:val="24"/>
        </w:rPr>
        <w:t>street lighting</w:t>
      </w:r>
      <w:r w:rsidR="00233517">
        <w:rPr>
          <w:sz w:val="24"/>
          <w:szCs w:val="24"/>
        </w:rPr>
        <w:t xml:space="preserve"> </w:t>
      </w:r>
      <w:r w:rsidR="00641DFE">
        <w:rPr>
          <w:sz w:val="24"/>
          <w:szCs w:val="24"/>
        </w:rPr>
        <w:t xml:space="preserve">rates applicable to customers where the Company owns the installation, and </w:t>
      </w:r>
      <w:r w:rsidR="00233517">
        <w:rPr>
          <w:sz w:val="24"/>
          <w:szCs w:val="24"/>
        </w:rPr>
        <w:t>a schedule</w:t>
      </w:r>
      <w:r w:rsidR="00641DFE">
        <w:rPr>
          <w:sz w:val="24"/>
          <w:szCs w:val="24"/>
        </w:rPr>
        <w:t xml:space="preserve"> of </w:t>
      </w:r>
      <w:r w:rsidR="00233517" w:rsidRPr="00796806">
        <w:rPr>
          <w:i/>
          <w:sz w:val="24"/>
          <w:szCs w:val="24"/>
        </w:rPr>
        <w:t>miscellaneous lighting</w:t>
      </w:r>
      <w:r w:rsidR="00233517">
        <w:rPr>
          <w:sz w:val="24"/>
          <w:szCs w:val="24"/>
        </w:rPr>
        <w:t xml:space="preserve"> </w:t>
      </w:r>
      <w:r w:rsidR="00641DFE">
        <w:rPr>
          <w:sz w:val="24"/>
          <w:szCs w:val="24"/>
        </w:rPr>
        <w:t>rates applicable</w:t>
      </w:r>
      <w:r w:rsidR="001E5B6D">
        <w:rPr>
          <w:sz w:val="24"/>
          <w:szCs w:val="24"/>
        </w:rPr>
        <w:t xml:space="preserve"> to customers who own</w:t>
      </w:r>
      <w:r w:rsidR="00641DFE">
        <w:rPr>
          <w:sz w:val="24"/>
          <w:szCs w:val="24"/>
        </w:rPr>
        <w:t xml:space="preserve"> part of the lighting installation.</w:t>
      </w:r>
    </w:p>
    <w:p w:rsidR="00641DFE" w:rsidRPr="006D0098" w:rsidRDefault="00EB5FD5" w:rsidP="00130503">
      <w:pPr>
        <w:spacing w:line="480" w:lineRule="auto"/>
        <w:ind w:left="720" w:hanging="720"/>
        <w:jc w:val="both"/>
        <w:rPr>
          <w:b/>
          <w:sz w:val="24"/>
          <w:szCs w:val="24"/>
        </w:rPr>
      </w:pPr>
      <w:r w:rsidRPr="006D0098">
        <w:rPr>
          <w:b/>
          <w:sz w:val="24"/>
          <w:szCs w:val="24"/>
        </w:rPr>
        <w:t>Q.</w:t>
      </w:r>
      <w:r w:rsidRPr="006D0098">
        <w:rPr>
          <w:b/>
          <w:sz w:val="24"/>
          <w:szCs w:val="24"/>
        </w:rPr>
        <w:tab/>
        <w:t>What are the cost impacts</w:t>
      </w:r>
      <w:r w:rsidR="0052715B" w:rsidRPr="006D0098">
        <w:rPr>
          <w:b/>
          <w:sz w:val="24"/>
          <w:szCs w:val="24"/>
        </w:rPr>
        <w:t xml:space="preserve"> of the Company’s proposal?</w:t>
      </w:r>
    </w:p>
    <w:p w:rsidR="0052715B" w:rsidRPr="006D0098" w:rsidRDefault="0052715B" w:rsidP="00130503">
      <w:pPr>
        <w:spacing w:line="480" w:lineRule="auto"/>
        <w:ind w:left="720" w:hanging="720"/>
        <w:jc w:val="both"/>
        <w:rPr>
          <w:sz w:val="24"/>
          <w:szCs w:val="24"/>
        </w:rPr>
      </w:pPr>
      <w:r w:rsidRPr="006D0098">
        <w:rPr>
          <w:sz w:val="24"/>
          <w:szCs w:val="24"/>
        </w:rPr>
        <w:t>A.</w:t>
      </w:r>
      <w:r w:rsidRPr="006D0098">
        <w:rPr>
          <w:sz w:val="24"/>
          <w:szCs w:val="24"/>
        </w:rPr>
        <w:tab/>
      </w:r>
      <w:r w:rsidR="00CB300D" w:rsidRPr="006D0098">
        <w:rPr>
          <w:sz w:val="24"/>
          <w:szCs w:val="24"/>
        </w:rPr>
        <w:t xml:space="preserve">Based on the Company’s analysis, </w:t>
      </w:r>
      <w:r w:rsidR="00EB5FD5" w:rsidRPr="006D0098">
        <w:rPr>
          <w:sz w:val="24"/>
          <w:szCs w:val="24"/>
        </w:rPr>
        <w:t xml:space="preserve">multiple cost elements </w:t>
      </w:r>
      <w:r w:rsidR="00C961C5" w:rsidRPr="006D0098">
        <w:rPr>
          <w:sz w:val="24"/>
          <w:szCs w:val="24"/>
        </w:rPr>
        <w:t>in the cost study are</w:t>
      </w:r>
      <w:r w:rsidR="00063FB3" w:rsidRPr="006D0098">
        <w:rPr>
          <w:sz w:val="24"/>
          <w:szCs w:val="24"/>
        </w:rPr>
        <w:t xml:space="preserve"> a</w:t>
      </w:r>
      <w:r w:rsidR="00EB5FD5" w:rsidRPr="006D0098">
        <w:rPr>
          <w:sz w:val="24"/>
          <w:szCs w:val="24"/>
        </w:rPr>
        <w:t xml:space="preserve">ffected </w:t>
      </w:r>
      <w:r w:rsidR="00C961C5" w:rsidRPr="006D0098">
        <w:rPr>
          <w:sz w:val="24"/>
          <w:szCs w:val="24"/>
        </w:rPr>
        <w:t>by</w:t>
      </w:r>
      <w:r w:rsidR="00EB5FD5" w:rsidRPr="006D0098">
        <w:rPr>
          <w:sz w:val="24"/>
          <w:szCs w:val="24"/>
        </w:rPr>
        <w:t xml:space="preserve"> the proposal</w:t>
      </w:r>
      <w:r w:rsidR="00CB300D" w:rsidRPr="006D0098">
        <w:rPr>
          <w:sz w:val="24"/>
          <w:szCs w:val="24"/>
        </w:rPr>
        <w:t>.</w:t>
      </w:r>
      <w:r w:rsidR="00C961C5" w:rsidRPr="006D0098">
        <w:rPr>
          <w:rStyle w:val="FootnoteReference"/>
          <w:sz w:val="24"/>
          <w:szCs w:val="24"/>
        </w:rPr>
        <w:footnoteReference w:id="107"/>
      </w:r>
      <w:r w:rsidR="00EB5FD5" w:rsidRPr="006D0098">
        <w:rPr>
          <w:sz w:val="24"/>
          <w:szCs w:val="24"/>
        </w:rPr>
        <w:t xml:space="preserve"> </w:t>
      </w:r>
      <w:r w:rsidR="00CB300D" w:rsidRPr="006D0098">
        <w:rPr>
          <w:sz w:val="24"/>
          <w:szCs w:val="24"/>
        </w:rPr>
        <w:t xml:space="preserve">  However, </w:t>
      </w:r>
      <w:r w:rsidR="00EB5FD5" w:rsidRPr="006D0098">
        <w:rPr>
          <w:sz w:val="24"/>
          <w:szCs w:val="24"/>
        </w:rPr>
        <w:t xml:space="preserve">generally speaking the </w:t>
      </w:r>
      <w:r w:rsidR="00CB300D" w:rsidRPr="006D0098">
        <w:rPr>
          <w:sz w:val="24"/>
          <w:szCs w:val="24"/>
        </w:rPr>
        <w:t xml:space="preserve">Company projects that the </w:t>
      </w:r>
      <w:r w:rsidR="00EB5FD5" w:rsidRPr="006D0098">
        <w:rPr>
          <w:sz w:val="24"/>
          <w:szCs w:val="24"/>
        </w:rPr>
        <w:t xml:space="preserve">LED installations </w:t>
      </w:r>
      <w:r w:rsidR="00CB300D" w:rsidRPr="006D0098">
        <w:rPr>
          <w:sz w:val="24"/>
          <w:szCs w:val="24"/>
        </w:rPr>
        <w:t xml:space="preserve">will </w:t>
      </w:r>
      <w:r w:rsidR="00EB5FD5" w:rsidRPr="006D0098">
        <w:rPr>
          <w:sz w:val="24"/>
          <w:szCs w:val="24"/>
        </w:rPr>
        <w:t xml:space="preserve">require higher upfront </w:t>
      </w:r>
      <w:r w:rsidR="00CB300D" w:rsidRPr="006D0098">
        <w:rPr>
          <w:sz w:val="24"/>
          <w:szCs w:val="24"/>
        </w:rPr>
        <w:t>capital expenditure</w:t>
      </w:r>
      <w:r w:rsidR="00333777" w:rsidRPr="006D0098">
        <w:rPr>
          <w:sz w:val="24"/>
          <w:szCs w:val="24"/>
        </w:rPr>
        <w:t>s</w:t>
      </w:r>
      <w:r w:rsidR="00C239EE" w:rsidRPr="006D0098">
        <w:rPr>
          <w:rStyle w:val="FootnoteReference"/>
          <w:sz w:val="24"/>
          <w:szCs w:val="24"/>
        </w:rPr>
        <w:footnoteReference w:id="108"/>
      </w:r>
      <w:r w:rsidR="00CB300D" w:rsidRPr="006D0098">
        <w:rPr>
          <w:sz w:val="24"/>
          <w:szCs w:val="24"/>
        </w:rPr>
        <w:t xml:space="preserve"> but will lower operations and maintenance expenses.</w:t>
      </w:r>
      <w:r w:rsidR="0009211D" w:rsidRPr="006D0098">
        <w:rPr>
          <w:rStyle w:val="FootnoteReference"/>
          <w:sz w:val="24"/>
          <w:szCs w:val="24"/>
        </w:rPr>
        <w:footnoteReference w:id="109"/>
      </w:r>
      <w:r w:rsidR="00CB300D" w:rsidRPr="006D0098">
        <w:rPr>
          <w:sz w:val="24"/>
          <w:szCs w:val="24"/>
        </w:rPr>
        <w:t xml:space="preserve">  According to the Company’s projections, the proposal therefore represents a tradeoff between </w:t>
      </w:r>
      <w:r w:rsidR="00407986" w:rsidRPr="006D0098">
        <w:rPr>
          <w:sz w:val="24"/>
          <w:szCs w:val="24"/>
        </w:rPr>
        <w:t xml:space="preserve">higher upfront costs </w:t>
      </w:r>
      <w:r w:rsidR="00CB300D" w:rsidRPr="006D0098">
        <w:rPr>
          <w:sz w:val="24"/>
          <w:szCs w:val="24"/>
        </w:rPr>
        <w:t>and lower recurring costs.</w:t>
      </w:r>
    </w:p>
    <w:p w:rsidR="00063755" w:rsidRPr="006D0098" w:rsidRDefault="00063755" w:rsidP="00130503">
      <w:pPr>
        <w:spacing w:line="480" w:lineRule="auto"/>
        <w:ind w:left="720" w:hanging="720"/>
        <w:jc w:val="both"/>
        <w:rPr>
          <w:b/>
          <w:sz w:val="24"/>
          <w:szCs w:val="24"/>
        </w:rPr>
      </w:pPr>
      <w:r w:rsidRPr="006D0098">
        <w:rPr>
          <w:b/>
          <w:sz w:val="24"/>
          <w:szCs w:val="24"/>
        </w:rPr>
        <w:t>Q.</w:t>
      </w:r>
      <w:r w:rsidRPr="006D0098">
        <w:rPr>
          <w:b/>
          <w:sz w:val="24"/>
          <w:szCs w:val="24"/>
        </w:rPr>
        <w:tab/>
        <w:t>What are some of the differences between LED and non-LED lamp types that drive the cost impacts?</w:t>
      </w:r>
    </w:p>
    <w:p w:rsidR="007743FC" w:rsidRPr="006D0098" w:rsidRDefault="00063755" w:rsidP="00130503">
      <w:pPr>
        <w:spacing w:line="480" w:lineRule="auto"/>
        <w:ind w:left="720" w:hanging="720"/>
        <w:jc w:val="both"/>
        <w:rPr>
          <w:sz w:val="24"/>
          <w:szCs w:val="24"/>
        </w:rPr>
      </w:pPr>
      <w:r w:rsidRPr="006D0098">
        <w:rPr>
          <w:sz w:val="24"/>
          <w:szCs w:val="24"/>
        </w:rPr>
        <w:lastRenderedPageBreak/>
        <w:t>A.</w:t>
      </w:r>
      <w:r w:rsidRPr="006D0098">
        <w:rPr>
          <w:sz w:val="24"/>
          <w:szCs w:val="24"/>
        </w:rPr>
        <w:tab/>
      </w:r>
      <w:r w:rsidR="00E3203C" w:rsidRPr="006D0098">
        <w:rPr>
          <w:sz w:val="24"/>
          <w:szCs w:val="24"/>
        </w:rPr>
        <w:t xml:space="preserve">According to the Company’s analysis, </w:t>
      </w:r>
      <w:r w:rsidR="00120CA2" w:rsidRPr="006D0098">
        <w:rPr>
          <w:sz w:val="24"/>
          <w:szCs w:val="24"/>
        </w:rPr>
        <w:t xml:space="preserve">a high-pressure sodium (non-LED) lighting installation has a </w:t>
      </w:r>
      <w:r w:rsidR="00B450DA" w:rsidRPr="00B450DA">
        <w:rPr>
          <w:sz w:val="24"/>
          <w:szCs w:val="24"/>
          <w:highlight w:val="black"/>
        </w:rPr>
        <w:t>xxxxxxx</w:t>
      </w:r>
      <w:r w:rsidR="00120CA2" w:rsidRPr="006D0098">
        <w:rPr>
          <w:sz w:val="24"/>
          <w:szCs w:val="24"/>
        </w:rPr>
        <w:t xml:space="preserve"> useful life.  However, the bulbs have a useful life</w:t>
      </w:r>
      <w:r w:rsidR="00B450DA">
        <w:rPr>
          <w:sz w:val="24"/>
          <w:szCs w:val="24"/>
        </w:rPr>
        <w:t xml:space="preserve"> of only </w:t>
      </w:r>
      <w:r w:rsidR="00B450DA" w:rsidRPr="00B450DA">
        <w:rPr>
          <w:sz w:val="24"/>
          <w:szCs w:val="24"/>
          <w:highlight w:val="black"/>
        </w:rPr>
        <w:t>xxxx</w:t>
      </w:r>
      <w:r w:rsidR="001E7F05" w:rsidRPr="006D0098">
        <w:rPr>
          <w:sz w:val="24"/>
          <w:szCs w:val="24"/>
        </w:rPr>
        <w:t xml:space="preserve"> years (and must be replaced when they burn out)</w:t>
      </w:r>
      <w:r w:rsidR="00E36742" w:rsidRPr="006D0098">
        <w:rPr>
          <w:sz w:val="24"/>
          <w:szCs w:val="24"/>
        </w:rPr>
        <w:t>.</w:t>
      </w:r>
      <w:r w:rsidR="00382E0F" w:rsidRPr="006D0098">
        <w:rPr>
          <w:rStyle w:val="FootnoteReference"/>
          <w:sz w:val="24"/>
          <w:szCs w:val="24"/>
        </w:rPr>
        <w:footnoteReference w:id="110"/>
      </w:r>
    </w:p>
    <w:p w:rsidR="00063755" w:rsidRDefault="00120CA2" w:rsidP="007743FC">
      <w:pPr>
        <w:spacing w:line="480" w:lineRule="auto"/>
        <w:ind w:left="720" w:firstLine="720"/>
        <w:jc w:val="both"/>
        <w:rPr>
          <w:sz w:val="24"/>
          <w:szCs w:val="24"/>
        </w:rPr>
      </w:pPr>
      <w:r w:rsidRPr="006D0098">
        <w:rPr>
          <w:sz w:val="24"/>
          <w:szCs w:val="24"/>
        </w:rPr>
        <w:t>In contrast, an LED lighting installation is projected by the Company to have a 15-year useful life.</w:t>
      </w:r>
      <w:r w:rsidR="0063580D" w:rsidRPr="006D0098">
        <w:rPr>
          <w:rStyle w:val="FootnoteReference"/>
          <w:sz w:val="24"/>
          <w:szCs w:val="24"/>
        </w:rPr>
        <w:footnoteReference w:id="111"/>
      </w:r>
      <w:r w:rsidRPr="006D0098">
        <w:rPr>
          <w:sz w:val="24"/>
          <w:szCs w:val="24"/>
        </w:rPr>
        <w:t xml:space="preserve">  LED installations do not have “bulbs,” and do not have component p</w:t>
      </w:r>
      <w:r w:rsidR="00CD787E" w:rsidRPr="006D0098">
        <w:rPr>
          <w:sz w:val="24"/>
          <w:szCs w:val="24"/>
        </w:rPr>
        <w:t xml:space="preserve">arts that can fail partially </w:t>
      </w:r>
      <w:r w:rsidR="00CD787E">
        <w:rPr>
          <w:sz w:val="24"/>
          <w:szCs w:val="24"/>
        </w:rPr>
        <w:t>or</w:t>
      </w:r>
      <w:r>
        <w:rPr>
          <w:sz w:val="24"/>
          <w:szCs w:val="24"/>
        </w:rPr>
        <w:t xml:space="preserve"> require routine </w:t>
      </w:r>
      <w:r w:rsidRPr="008D3873">
        <w:rPr>
          <w:sz w:val="24"/>
          <w:szCs w:val="24"/>
        </w:rPr>
        <w:t>maintenance.</w:t>
      </w:r>
      <w:r w:rsidR="00063FB3" w:rsidRPr="008D3873">
        <w:rPr>
          <w:sz w:val="24"/>
          <w:szCs w:val="24"/>
        </w:rPr>
        <w:t xml:space="preserve"> </w:t>
      </w:r>
      <w:r w:rsidR="008D3873" w:rsidRPr="008D3873">
        <w:rPr>
          <w:sz w:val="24"/>
          <w:szCs w:val="24"/>
        </w:rPr>
        <w:t xml:space="preserve"> </w:t>
      </w:r>
      <w:r w:rsidRPr="008D3873">
        <w:rPr>
          <w:sz w:val="24"/>
          <w:szCs w:val="24"/>
        </w:rPr>
        <w:t>LED</w:t>
      </w:r>
      <w:r>
        <w:rPr>
          <w:sz w:val="24"/>
          <w:szCs w:val="24"/>
        </w:rPr>
        <w:t xml:space="preserve"> lights fail totally and must be replaced with a new installation at the end of their useful life.</w:t>
      </w:r>
      <w:r w:rsidR="00707BB2">
        <w:rPr>
          <w:rStyle w:val="FootnoteReference"/>
          <w:sz w:val="24"/>
          <w:szCs w:val="24"/>
        </w:rPr>
        <w:footnoteReference w:id="112"/>
      </w:r>
    </w:p>
    <w:p w:rsidR="00063755" w:rsidRPr="00D60D5A" w:rsidRDefault="00BF7918" w:rsidP="00130503">
      <w:pPr>
        <w:spacing w:line="480" w:lineRule="auto"/>
        <w:ind w:left="720" w:hanging="720"/>
        <w:jc w:val="both"/>
        <w:rPr>
          <w:b/>
          <w:sz w:val="24"/>
          <w:szCs w:val="24"/>
        </w:rPr>
      </w:pPr>
      <w:r w:rsidRPr="00D60D5A">
        <w:rPr>
          <w:b/>
          <w:sz w:val="24"/>
          <w:szCs w:val="24"/>
        </w:rPr>
        <w:t>Q.</w:t>
      </w:r>
      <w:r w:rsidRPr="00D60D5A">
        <w:rPr>
          <w:b/>
          <w:sz w:val="24"/>
          <w:szCs w:val="24"/>
        </w:rPr>
        <w:tab/>
        <w:t>Does the Company project that its proposal will have an impact on its retail delivery system?</w:t>
      </w:r>
    </w:p>
    <w:p w:rsidR="00BF7918" w:rsidRDefault="00BF7918" w:rsidP="00130503">
      <w:pPr>
        <w:spacing w:line="480" w:lineRule="auto"/>
        <w:ind w:left="720" w:hanging="720"/>
        <w:jc w:val="both"/>
        <w:rPr>
          <w:sz w:val="24"/>
          <w:szCs w:val="24"/>
        </w:rPr>
      </w:pPr>
      <w:r>
        <w:rPr>
          <w:sz w:val="24"/>
          <w:szCs w:val="24"/>
        </w:rPr>
        <w:t>A.</w:t>
      </w:r>
      <w:r>
        <w:rPr>
          <w:sz w:val="24"/>
          <w:szCs w:val="24"/>
        </w:rPr>
        <w:tab/>
        <w:t xml:space="preserve">To my knowledge, no.  Street lighting generally occurs off-peak, when the Company has idle capacity on its system.  So, it seems plausible that the impact </w:t>
      </w:r>
      <w:r w:rsidR="008E028E">
        <w:rPr>
          <w:sz w:val="24"/>
          <w:szCs w:val="24"/>
        </w:rPr>
        <w:t xml:space="preserve">of the proposal </w:t>
      </w:r>
      <w:r>
        <w:rPr>
          <w:sz w:val="24"/>
          <w:szCs w:val="24"/>
        </w:rPr>
        <w:t xml:space="preserve">on the Company’s distribution capacity costs (e.g., substations, feeder lines, poles, transformers) </w:t>
      </w:r>
      <w:r w:rsidR="00A07949">
        <w:rPr>
          <w:sz w:val="24"/>
          <w:szCs w:val="24"/>
        </w:rPr>
        <w:t xml:space="preserve">and its assigned share of ERCOT transmission payments </w:t>
      </w:r>
      <w:r w:rsidR="00B55352">
        <w:rPr>
          <w:sz w:val="24"/>
          <w:szCs w:val="24"/>
        </w:rPr>
        <w:t>would be minimal.</w:t>
      </w:r>
    </w:p>
    <w:p w:rsidR="009939A7" w:rsidRPr="009939A7" w:rsidRDefault="009939A7" w:rsidP="00130503">
      <w:pPr>
        <w:spacing w:line="480" w:lineRule="auto"/>
        <w:ind w:left="720" w:hanging="720"/>
        <w:jc w:val="both"/>
        <w:rPr>
          <w:b/>
          <w:sz w:val="24"/>
          <w:szCs w:val="24"/>
        </w:rPr>
      </w:pPr>
      <w:r w:rsidRPr="009939A7">
        <w:rPr>
          <w:b/>
          <w:sz w:val="24"/>
          <w:szCs w:val="24"/>
        </w:rPr>
        <w:lastRenderedPageBreak/>
        <w:t>Q.</w:t>
      </w:r>
      <w:r w:rsidRPr="009939A7">
        <w:rPr>
          <w:b/>
          <w:sz w:val="24"/>
          <w:szCs w:val="24"/>
        </w:rPr>
        <w:tab/>
        <w:t>Has the Company projected any changes in the cost impacts in the future?</w:t>
      </w:r>
    </w:p>
    <w:p w:rsidR="009939A7" w:rsidRDefault="009939A7" w:rsidP="00130503">
      <w:pPr>
        <w:spacing w:line="480" w:lineRule="auto"/>
        <w:ind w:left="720" w:hanging="720"/>
        <w:jc w:val="both"/>
        <w:rPr>
          <w:sz w:val="24"/>
          <w:szCs w:val="24"/>
        </w:rPr>
      </w:pPr>
      <w:r>
        <w:rPr>
          <w:sz w:val="24"/>
          <w:szCs w:val="24"/>
        </w:rPr>
        <w:t>A.</w:t>
      </w:r>
      <w:r>
        <w:rPr>
          <w:sz w:val="24"/>
          <w:szCs w:val="24"/>
        </w:rPr>
        <w:tab/>
        <w:t xml:space="preserve">Yes.  The Company expects that the upfront costs </w:t>
      </w:r>
      <w:r w:rsidR="00E1585A">
        <w:rPr>
          <w:sz w:val="24"/>
          <w:szCs w:val="24"/>
        </w:rPr>
        <w:t>of LED lighting will</w:t>
      </w:r>
      <w:r>
        <w:rPr>
          <w:sz w:val="24"/>
          <w:szCs w:val="24"/>
        </w:rPr>
        <w:t xml:space="preserve"> decline over time as the technology </w:t>
      </w:r>
      <w:r w:rsidRPr="002720D4">
        <w:rPr>
          <w:sz w:val="24"/>
          <w:szCs w:val="24"/>
        </w:rPr>
        <w:t>mature</w:t>
      </w:r>
      <w:r w:rsidR="00E1585A" w:rsidRPr="002720D4">
        <w:rPr>
          <w:sz w:val="24"/>
          <w:szCs w:val="24"/>
        </w:rPr>
        <w:t>s</w:t>
      </w:r>
      <w:r w:rsidRPr="002720D4">
        <w:rPr>
          <w:sz w:val="24"/>
          <w:szCs w:val="24"/>
        </w:rPr>
        <w:t>,</w:t>
      </w:r>
      <w:r w:rsidR="00625C84" w:rsidRPr="002720D4">
        <w:rPr>
          <w:rStyle w:val="FootnoteReference"/>
          <w:sz w:val="24"/>
          <w:szCs w:val="24"/>
        </w:rPr>
        <w:footnoteReference w:id="113"/>
      </w:r>
      <w:r w:rsidRPr="002720D4">
        <w:rPr>
          <w:sz w:val="24"/>
          <w:szCs w:val="24"/>
        </w:rPr>
        <w:t xml:space="preserve"> and</w:t>
      </w:r>
      <w:r>
        <w:rPr>
          <w:sz w:val="24"/>
          <w:szCs w:val="24"/>
        </w:rPr>
        <w:t xml:space="preserve"> that conversely the costs of non-LED alternatives will continue to </w:t>
      </w:r>
      <w:r w:rsidRPr="00AA6FC9">
        <w:rPr>
          <w:sz w:val="24"/>
          <w:szCs w:val="24"/>
        </w:rPr>
        <w:t>climb as inventories beco</w:t>
      </w:r>
      <w:r w:rsidR="00052F60" w:rsidRPr="00AA6FC9">
        <w:rPr>
          <w:sz w:val="24"/>
          <w:szCs w:val="24"/>
        </w:rPr>
        <w:t xml:space="preserve">me depleted and the technology </w:t>
      </w:r>
      <w:r w:rsidR="00E1585A" w:rsidRPr="00AA6FC9">
        <w:rPr>
          <w:sz w:val="24"/>
          <w:szCs w:val="24"/>
        </w:rPr>
        <w:t xml:space="preserve">generally </w:t>
      </w:r>
      <w:r w:rsidR="00052F60" w:rsidRPr="00AA6FC9">
        <w:rPr>
          <w:sz w:val="24"/>
          <w:szCs w:val="24"/>
        </w:rPr>
        <w:t>falls</w:t>
      </w:r>
      <w:r w:rsidRPr="00AA6FC9">
        <w:rPr>
          <w:sz w:val="24"/>
          <w:szCs w:val="24"/>
        </w:rPr>
        <w:t xml:space="preserve"> into disfavor.</w:t>
      </w:r>
      <w:r w:rsidR="002720D4" w:rsidRPr="00AA6FC9">
        <w:rPr>
          <w:rStyle w:val="FootnoteReference"/>
          <w:sz w:val="24"/>
          <w:szCs w:val="24"/>
        </w:rPr>
        <w:footnoteReference w:id="114"/>
      </w:r>
    </w:p>
    <w:p w:rsidR="008139D6" w:rsidRDefault="008139D6" w:rsidP="00130503">
      <w:pPr>
        <w:spacing w:line="480" w:lineRule="auto"/>
        <w:ind w:left="720" w:hanging="720"/>
        <w:jc w:val="both"/>
        <w:rPr>
          <w:b/>
          <w:sz w:val="24"/>
          <w:szCs w:val="24"/>
        </w:rPr>
      </w:pPr>
      <w:r w:rsidRPr="008139D6">
        <w:rPr>
          <w:b/>
          <w:sz w:val="24"/>
          <w:szCs w:val="24"/>
        </w:rPr>
        <w:t>Q.</w:t>
      </w:r>
      <w:r w:rsidRPr="008139D6">
        <w:rPr>
          <w:b/>
          <w:sz w:val="24"/>
          <w:szCs w:val="24"/>
        </w:rPr>
        <w:tab/>
      </w:r>
      <w:r>
        <w:rPr>
          <w:b/>
          <w:sz w:val="24"/>
          <w:szCs w:val="24"/>
        </w:rPr>
        <w:t xml:space="preserve">Has </w:t>
      </w:r>
      <w:r w:rsidR="005E5987">
        <w:rPr>
          <w:b/>
          <w:sz w:val="24"/>
          <w:szCs w:val="24"/>
        </w:rPr>
        <w:t>the Company presented other expected</w:t>
      </w:r>
      <w:r w:rsidR="00105527">
        <w:rPr>
          <w:b/>
          <w:sz w:val="24"/>
          <w:szCs w:val="24"/>
        </w:rPr>
        <w:t xml:space="preserve"> benefits of its proposal </w:t>
      </w:r>
      <w:r w:rsidR="00D36467">
        <w:rPr>
          <w:b/>
          <w:sz w:val="24"/>
          <w:szCs w:val="24"/>
        </w:rPr>
        <w:t>that are qualitative</w:t>
      </w:r>
      <w:r w:rsidR="00333777">
        <w:rPr>
          <w:b/>
          <w:sz w:val="24"/>
          <w:szCs w:val="24"/>
        </w:rPr>
        <w:t xml:space="preserve"> and </w:t>
      </w:r>
      <w:r w:rsidR="005E5987">
        <w:rPr>
          <w:b/>
          <w:sz w:val="24"/>
          <w:szCs w:val="24"/>
        </w:rPr>
        <w:t>more difficult to quantify</w:t>
      </w:r>
      <w:r>
        <w:rPr>
          <w:b/>
          <w:sz w:val="24"/>
          <w:szCs w:val="24"/>
        </w:rPr>
        <w:t>?</w:t>
      </w:r>
    </w:p>
    <w:p w:rsidR="008139D6" w:rsidRDefault="008139D6" w:rsidP="00130503">
      <w:pPr>
        <w:spacing w:line="480" w:lineRule="auto"/>
        <w:ind w:left="720" w:hanging="720"/>
        <w:jc w:val="both"/>
        <w:rPr>
          <w:sz w:val="24"/>
          <w:szCs w:val="24"/>
        </w:rPr>
      </w:pPr>
      <w:r w:rsidRPr="008139D6">
        <w:rPr>
          <w:sz w:val="24"/>
          <w:szCs w:val="24"/>
        </w:rPr>
        <w:t>A.</w:t>
      </w:r>
      <w:r w:rsidRPr="008139D6">
        <w:rPr>
          <w:sz w:val="24"/>
          <w:szCs w:val="24"/>
        </w:rPr>
        <w:tab/>
      </w:r>
      <w:r w:rsidR="005E5987">
        <w:rPr>
          <w:sz w:val="24"/>
          <w:szCs w:val="24"/>
        </w:rPr>
        <w:t xml:space="preserve">Yes.  </w:t>
      </w:r>
      <w:r w:rsidR="00C870A8">
        <w:rPr>
          <w:sz w:val="24"/>
          <w:szCs w:val="24"/>
        </w:rPr>
        <w:t xml:space="preserve">In information provided in </w:t>
      </w:r>
      <w:r w:rsidR="00C870A8" w:rsidRPr="001F3964">
        <w:rPr>
          <w:sz w:val="24"/>
          <w:szCs w:val="24"/>
        </w:rPr>
        <w:t>response to discovery, t</w:t>
      </w:r>
      <w:r w:rsidR="005E5987" w:rsidRPr="001F3964">
        <w:rPr>
          <w:sz w:val="24"/>
          <w:szCs w:val="24"/>
        </w:rPr>
        <w:t xml:space="preserve">he Company claims that LED lighting produces light of </w:t>
      </w:r>
      <w:r w:rsidR="00E259D1" w:rsidRPr="001F3964">
        <w:rPr>
          <w:sz w:val="24"/>
          <w:szCs w:val="24"/>
        </w:rPr>
        <w:t xml:space="preserve">high </w:t>
      </w:r>
      <w:r w:rsidR="005E5987" w:rsidRPr="001F3964">
        <w:rPr>
          <w:sz w:val="24"/>
          <w:szCs w:val="24"/>
        </w:rPr>
        <w:t>quality</w:t>
      </w:r>
      <w:r w:rsidR="00E259D1" w:rsidRPr="001F3964">
        <w:rPr>
          <w:sz w:val="24"/>
          <w:szCs w:val="24"/>
        </w:rPr>
        <w:t>.</w:t>
      </w:r>
      <w:r w:rsidR="00E259D1" w:rsidRPr="001F3964">
        <w:rPr>
          <w:rStyle w:val="FootnoteReference"/>
          <w:sz w:val="24"/>
          <w:szCs w:val="24"/>
        </w:rPr>
        <w:footnoteReference w:id="115"/>
      </w:r>
      <w:r w:rsidR="005E5987" w:rsidRPr="001F3964">
        <w:rPr>
          <w:sz w:val="24"/>
          <w:szCs w:val="24"/>
        </w:rPr>
        <w:t xml:space="preserve"> </w:t>
      </w:r>
      <w:r w:rsidR="00E259D1" w:rsidRPr="001F3964">
        <w:rPr>
          <w:sz w:val="24"/>
          <w:szCs w:val="24"/>
        </w:rPr>
        <w:t xml:space="preserve"> </w:t>
      </w:r>
      <w:r w:rsidR="005E5987" w:rsidRPr="001F3964">
        <w:rPr>
          <w:sz w:val="24"/>
          <w:szCs w:val="24"/>
        </w:rPr>
        <w:t>The</w:t>
      </w:r>
      <w:r w:rsidR="005E5987">
        <w:rPr>
          <w:sz w:val="24"/>
          <w:szCs w:val="24"/>
        </w:rPr>
        <w:t xml:space="preserve"> Company suggests that higher quality street lighting can reduce crime and promote a sense of safety and security in communities.</w:t>
      </w:r>
      <w:r w:rsidR="00AA6FC9">
        <w:rPr>
          <w:rStyle w:val="FootnoteReference"/>
          <w:sz w:val="24"/>
          <w:szCs w:val="24"/>
        </w:rPr>
        <w:footnoteReference w:id="116"/>
      </w:r>
      <w:r w:rsidR="005E5987">
        <w:rPr>
          <w:sz w:val="24"/>
          <w:szCs w:val="24"/>
        </w:rPr>
        <w:t xml:space="preserve">  Additionally, the Company notes that LED lighting </w:t>
      </w:r>
      <w:r w:rsidR="00167A47">
        <w:rPr>
          <w:sz w:val="24"/>
          <w:szCs w:val="24"/>
        </w:rPr>
        <w:t xml:space="preserve">is more tightly focused where it is wanted and </w:t>
      </w:r>
      <w:r w:rsidR="005E5987">
        <w:rPr>
          <w:sz w:val="24"/>
          <w:szCs w:val="24"/>
        </w:rPr>
        <w:t>disperses less li</w:t>
      </w:r>
      <w:r w:rsidR="00450F6F">
        <w:rPr>
          <w:sz w:val="24"/>
          <w:szCs w:val="24"/>
        </w:rPr>
        <w:t>ght pollution into the skyline as compared with non-LED lighting.</w:t>
      </w:r>
      <w:r w:rsidR="005858FB">
        <w:rPr>
          <w:rStyle w:val="FootnoteReference"/>
          <w:sz w:val="24"/>
          <w:szCs w:val="24"/>
        </w:rPr>
        <w:footnoteReference w:id="117"/>
      </w:r>
    </w:p>
    <w:p w:rsidR="001F3964" w:rsidRDefault="00614F3D" w:rsidP="00130503">
      <w:pPr>
        <w:spacing w:line="480" w:lineRule="auto"/>
        <w:ind w:left="720" w:hanging="720"/>
        <w:jc w:val="both"/>
        <w:rPr>
          <w:b/>
          <w:sz w:val="24"/>
          <w:szCs w:val="24"/>
        </w:rPr>
      </w:pPr>
      <w:r w:rsidRPr="00614F3D">
        <w:rPr>
          <w:b/>
          <w:sz w:val="24"/>
          <w:szCs w:val="24"/>
        </w:rPr>
        <w:t>Q.</w:t>
      </w:r>
      <w:r w:rsidRPr="00614F3D">
        <w:rPr>
          <w:b/>
          <w:sz w:val="24"/>
          <w:szCs w:val="24"/>
        </w:rPr>
        <w:tab/>
        <w:t>What communities does the Company serve and which represent the Company’s current or potential street lighting customers?</w:t>
      </w:r>
    </w:p>
    <w:p w:rsidR="00614F3D" w:rsidRPr="008139D6" w:rsidRDefault="00614F3D" w:rsidP="00130503">
      <w:pPr>
        <w:spacing w:line="480" w:lineRule="auto"/>
        <w:ind w:left="720" w:hanging="720"/>
        <w:jc w:val="both"/>
        <w:rPr>
          <w:sz w:val="24"/>
          <w:szCs w:val="24"/>
        </w:rPr>
      </w:pPr>
      <w:r>
        <w:rPr>
          <w:sz w:val="24"/>
          <w:szCs w:val="24"/>
        </w:rPr>
        <w:lastRenderedPageBreak/>
        <w:t>A.</w:t>
      </w:r>
      <w:r>
        <w:rPr>
          <w:sz w:val="24"/>
          <w:szCs w:val="24"/>
        </w:rPr>
        <w:tab/>
        <w:t xml:space="preserve">In addition to the City of Houston, the Company serves 159 </w:t>
      </w:r>
      <w:r w:rsidR="00532D26">
        <w:rPr>
          <w:sz w:val="24"/>
          <w:szCs w:val="24"/>
        </w:rPr>
        <w:t xml:space="preserve">municipal </w:t>
      </w:r>
      <w:r>
        <w:rPr>
          <w:sz w:val="24"/>
          <w:szCs w:val="24"/>
        </w:rPr>
        <w:t>communities.</w:t>
      </w:r>
      <w:r w:rsidR="009643E6">
        <w:rPr>
          <w:rStyle w:val="FootnoteReference"/>
          <w:sz w:val="24"/>
          <w:szCs w:val="24"/>
        </w:rPr>
        <w:footnoteReference w:id="118"/>
      </w:r>
      <w:r w:rsidR="00EE4FD0">
        <w:rPr>
          <w:sz w:val="24"/>
          <w:szCs w:val="24"/>
        </w:rPr>
        <w:t xml:space="preserve">  </w:t>
      </w:r>
      <w:r w:rsidR="001E03CA">
        <w:rPr>
          <w:sz w:val="24"/>
          <w:szCs w:val="24"/>
        </w:rPr>
        <w:t>Less</w:t>
      </w:r>
      <w:r w:rsidR="00EE4FD0">
        <w:rPr>
          <w:sz w:val="24"/>
          <w:szCs w:val="24"/>
        </w:rPr>
        <w:t xml:space="preserve"> than one-third of the communities are represented by an intervening party in this proceeding.</w:t>
      </w:r>
      <w:r w:rsidR="00EE4FD0">
        <w:rPr>
          <w:rStyle w:val="FootnoteReference"/>
          <w:sz w:val="24"/>
          <w:szCs w:val="24"/>
        </w:rPr>
        <w:footnoteReference w:id="119"/>
      </w:r>
    </w:p>
    <w:p w:rsidR="006D0E3B" w:rsidRPr="00813561" w:rsidRDefault="00813561" w:rsidP="00C870A8">
      <w:pPr>
        <w:spacing w:line="480" w:lineRule="auto"/>
        <w:ind w:left="720" w:hanging="720"/>
        <w:jc w:val="both"/>
        <w:rPr>
          <w:b/>
          <w:sz w:val="24"/>
          <w:szCs w:val="24"/>
        </w:rPr>
      </w:pPr>
      <w:r w:rsidRPr="00813561">
        <w:rPr>
          <w:b/>
          <w:sz w:val="24"/>
          <w:szCs w:val="24"/>
        </w:rPr>
        <w:t>Q.</w:t>
      </w:r>
      <w:r w:rsidRPr="00813561">
        <w:rPr>
          <w:b/>
          <w:sz w:val="24"/>
          <w:szCs w:val="24"/>
        </w:rPr>
        <w:tab/>
        <w:t>What would be the customer impact of the Company’s proposal on the 160 municipal communities it serves?</w:t>
      </w:r>
    </w:p>
    <w:p w:rsidR="00813561" w:rsidRDefault="00813561" w:rsidP="00130503">
      <w:pPr>
        <w:spacing w:line="480" w:lineRule="auto"/>
        <w:ind w:left="720" w:hanging="720"/>
        <w:jc w:val="both"/>
        <w:rPr>
          <w:sz w:val="24"/>
          <w:szCs w:val="24"/>
        </w:rPr>
      </w:pPr>
      <w:r>
        <w:rPr>
          <w:sz w:val="24"/>
          <w:szCs w:val="24"/>
        </w:rPr>
        <w:t>A.</w:t>
      </w:r>
      <w:r>
        <w:rPr>
          <w:sz w:val="24"/>
          <w:szCs w:val="24"/>
        </w:rPr>
        <w:tab/>
        <w:t xml:space="preserve">The proposal eliminates customer choice.  Each community would no longer have the discretion to choose </w:t>
      </w:r>
      <w:r w:rsidR="005376DF">
        <w:rPr>
          <w:sz w:val="24"/>
          <w:szCs w:val="24"/>
        </w:rPr>
        <w:t>its preferred</w:t>
      </w:r>
      <w:r>
        <w:rPr>
          <w:sz w:val="24"/>
          <w:szCs w:val="24"/>
        </w:rPr>
        <w:t xml:space="preserve"> lighting type</w:t>
      </w:r>
      <w:r w:rsidRPr="00EC7A39">
        <w:rPr>
          <w:sz w:val="24"/>
          <w:szCs w:val="24"/>
        </w:rPr>
        <w:t>.</w:t>
      </w:r>
      <w:r w:rsidR="00EC7A39" w:rsidRPr="00EC7A39">
        <w:rPr>
          <w:sz w:val="24"/>
          <w:szCs w:val="24"/>
        </w:rPr>
        <w:t xml:space="preserve"> </w:t>
      </w:r>
      <w:r>
        <w:rPr>
          <w:sz w:val="24"/>
          <w:szCs w:val="24"/>
        </w:rPr>
        <w:t xml:space="preserve"> From a financial standpoint, </w:t>
      </w:r>
      <w:r w:rsidR="00A82224">
        <w:rPr>
          <w:sz w:val="24"/>
          <w:szCs w:val="24"/>
        </w:rPr>
        <w:t xml:space="preserve">the proposal would </w:t>
      </w:r>
      <w:r w:rsidR="00A82224" w:rsidRPr="00EC7A39">
        <w:rPr>
          <w:sz w:val="24"/>
          <w:szCs w:val="24"/>
        </w:rPr>
        <w:t>impose higher upfront and replacement lighting costs on customers in the short-term.</w:t>
      </w:r>
      <w:r w:rsidR="00A82224">
        <w:rPr>
          <w:sz w:val="24"/>
          <w:szCs w:val="24"/>
        </w:rPr>
        <w:t xml:space="preserve">  </w:t>
      </w:r>
      <w:r w:rsidR="00F41589">
        <w:rPr>
          <w:sz w:val="24"/>
          <w:szCs w:val="24"/>
        </w:rPr>
        <w:t>The proposal would exert pressure on municipal budgets that may have been set based on expectations that lower-cost, non-LED lighting options would continue to be available.</w:t>
      </w:r>
    </w:p>
    <w:p w:rsidR="00F41589" w:rsidRDefault="00415474" w:rsidP="00130503">
      <w:pPr>
        <w:spacing w:line="480" w:lineRule="auto"/>
        <w:ind w:left="720" w:hanging="720"/>
        <w:jc w:val="both"/>
        <w:rPr>
          <w:b/>
          <w:sz w:val="24"/>
          <w:szCs w:val="24"/>
        </w:rPr>
      </w:pPr>
      <w:r>
        <w:rPr>
          <w:b/>
          <w:sz w:val="24"/>
          <w:szCs w:val="24"/>
        </w:rPr>
        <w:lastRenderedPageBreak/>
        <w:t>Q.</w:t>
      </w:r>
      <w:r>
        <w:rPr>
          <w:b/>
          <w:sz w:val="24"/>
          <w:szCs w:val="24"/>
        </w:rPr>
        <w:tab/>
        <w:t>Are you concerned about the potential customer impacts of the Company’s proposal?</w:t>
      </w:r>
    </w:p>
    <w:p w:rsidR="0099702B" w:rsidRDefault="00BA6850" w:rsidP="0099702B">
      <w:pPr>
        <w:spacing w:line="480" w:lineRule="auto"/>
        <w:ind w:left="720" w:hanging="720"/>
        <w:jc w:val="both"/>
        <w:rPr>
          <w:sz w:val="24"/>
          <w:szCs w:val="24"/>
        </w:rPr>
      </w:pPr>
      <w:r>
        <w:rPr>
          <w:sz w:val="24"/>
          <w:szCs w:val="24"/>
        </w:rPr>
        <w:t>A.</w:t>
      </w:r>
      <w:r>
        <w:rPr>
          <w:sz w:val="24"/>
          <w:szCs w:val="24"/>
        </w:rPr>
        <w:tab/>
        <w:t xml:space="preserve">Yes.  </w:t>
      </w:r>
      <w:r w:rsidR="00415474">
        <w:rPr>
          <w:sz w:val="24"/>
          <w:szCs w:val="24"/>
        </w:rPr>
        <w:t xml:space="preserve">The magnitude of the financial impacts of the proposal on lighting customers is </w:t>
      </w:r>
      <w:r>
        <w:rPr>
          <w:sz w:val="24"/>
          <w:szCs w:val="24"/>
        </w:rPr>
        <w:t>unclear</w:t>
      </w:r>
      <w:r w:rsidR="00415474">
        <w:rPr>
          <w:sz w:val="24"/>
          <w:szCs w:val="24"/>
        </w:rPr>
        <w:t>.  T</w:t>
      </w:r>
      <w:r>
        <w:rPr>
          <w:sz w:val="24"/>
          <w:szCs w:val="24"/>
        </w:rPr>
        <w:t>he Company stated that</w:t>
      </w:r>
      <w:r w:rsidR="007F394B">
        <w:rPr>
          <w:sz w:val="24"/>
          <w:szCs w:val="24"/>
        </w:rPr>
        <w:t xml:space="preserve"> it</w:t>
      </w:r>
      <w:r w:rsidR="0090187C">
        <w:rPr>
          <w:sz w:val="24"/>
          <w:szCs w:val="24"/>
        </w:rPr>
        <w:t xml:space="preserve"> has not performed an</w:t>
      </w:r>
      <w:r>
        <w:rPr>
          <w:sz w:val="24"/>
          <w:szCs w:val="24"/>
        </w:rPr>
        <w:t xml:space="preserve"> analysis of the electric charges to its </w:t>
      </w:r>
      <w:r w:rsidR="007F394B">
        <w:rPr>
          <w:sz w:val="24"/>
          <w:szCs w:val="24"/>
        </w:rPr>
        <w:t xml:space="preserve">lighting </w:t>
      </w:r>
      <w:r>
        <w:rPr>
          <w:sz w:val="24"/>
          <w:szCs w:val="24"/>
        </w:rPr>
        <w:t>custome</w:t>
      </w:r>
      <w:r w:rsidR="0090187C">
        <w:rPr>
          <w:sz w:val="24"/>
          <w:szCs w:val="24"/>
        </w:rPr>
        <w:t xml:space="preserve">rs based on </w:t>
      </w:r>
      <w:r w:rsidR="003D4CF3">
        <w:rPr>
          <w:sz w:val="24"/>
          <w:szCs w:val="24"/>
        </w:rPr>
        <w:t xml:space="preserve">a </w:t>
      </w:r>
      <w:r w:rsidR="0090187C">
        <w:rPr>
          <w:sz w:val="24"/>
          <w:szCs w:val="24"/>
        </w:rPr>
        <w:t xml:space="preserve">non-LED lighting </w:t>
      </w:r>
      <w:r w:rsidR="003D4CF3">
        <w:rPr>
          <w:sz w:val="24"/>
          <w:szCs w:val="24"/>
        </w:rPr>
        <w:t xml:space="preserve">installation </w:t>
      </w:r>
      <w:r w:rsidR="0090187C">
        <w:rPr>
          <w:sz w:val="24"/>
          <w:szCs w:val="24"/>
        </w:rPr>
        <w:t>versus</w:t>
      </w:r>
      <w:r>
        <w:rPr>
          <w:sz w:val="24"/>
          <w:szCs w:val="24"/>
        </w:rPr>
        <w:t xml:space="preserve"> </w:t>
      </w:r>
      <w:r w:rsidR="003D4CF3">
        <w:rPr>
          <w:sz w:val="24"/>
          <w:szCs w:val="24"/>
        </w:rPr>
        <w:t xml:space="preserve">an </w:t>
      </w:r>
      <w:r w:rsidR="0090187C">
        <w:rPr>
          <w:sz w:val="24"/>
          <w:szCs w:val="24"/>
        </w:rPr>
        <w:t xml:space="preserve">equivalent </w:t>
      </w:r>
      <w:r>
        <w:rPr>
          <w:sz w:val="24"/>
          <w:szCs w:val="24"/>
        </w:rPr>
        <w:t xml:space="preserve">LED </w:t>
      </w:r>
      <w:r w:rsidR="0090187C">
        <w:rPr>
          <w:sz w:val="24"/>
          <w:szCs w:val="24"/>
        </w:rPr>
        <w:t>lighting</w:t>
      </w:r>
      <w:r w:rsidR="003D4CF3">
        <w:rPr>
          <w:sz w:val="24"/>
          <w:szCs w:val="24"/>
        </w:rPr>
        <w:t xml:space="preserve"> installation</w:t>
      </w:r>
      <w:r>
        <w:rPr>
          <w:sz w:val="24"/>
          <w:szCs w:val="24"/>
        </w:rPr>
        <w:t>, which would be required to quantify the cus</w:t>
      </w:r>
      <w:r w:rsidR="00CD331D">
        <w:rPr>
          <w:sz w:val="24"/>
          <w:szCs w:val="24"/>
        </w:rPr>
        <w:t xml:space="preserve">tomer impacts of </w:t>
      </w:r>
      <w:r w:rsidR="00415474">
        <w:rPr>
          <w:sz w:val="24"/>
          <w:szCs w:val="24"/>
        </w:rPr>
        <w:t>the</w:t>
      </w:r>
      <w:r w:rsidR="00CD331D">
        <w:rPr>
          <w:sz w:val="24"/>
          <w:szCs w:val="24"/>
        </w:rPr>
        <w:t xml:space="preserve"> </w:t>
      </w:r>
      <w:r w:rsidR="00CD331D" w:rsidRPr="008E13A3">
        <w:rPr>
          <w:sz w:val="24"/>
          <w:szCs w:val="24"/>
        </w:rPr>
        <w:t>proposal.</w:t>
      </w:r>
      <w:r w:rsidR="0039402C" w:rsidRPr="008E13A3">
        <w:rPr>
          <w:rStyle w:val="FootnoteReference"/>
          <w:sz w:val="24"/>
          <w:szCs w:val="24"/>
        </w:rPr>
        <w:footnoteReference w:id="120"/>
      </w:r>
      <w:r w:rsidR="008E13A3" w:rsidRPr="008E13A3">
        <w:rPr>
          <w:sz w:val="24"/>
          <w:szCs w:val="24"/>
        </w:rPr>
        <w:t xml:space="preserve">  </w:t>
      </w:r>
      <w:r w:rsidR="0099702B" w:rsidRPr="008E13A3">
        <w:rPr>
          <w:sz w:val="24"/>
          <w:szCs w:val="24"/>
        </w:rPr>
        <w:t xml:space="preserve">It is not advisable to </w:t>
      </w:r>
      <w:r w:rsidR="008E13A3">
        <w:rPr>
          <w:sz w:val="24"/>
          <w:szCs w:val="24"/>
        </w:rPr>
        <w:t>mandate</w:t>
      </w:r>
      <w:r w:rsidR="0099702B" w:rsidRPr="008E13A3">
        <w:rPr>
          <w:sz w:val="24"/>
          <w:szCs w:val="24"/>
        </w:rPr>
        <w:t xml:space="preserve"> </w:t>
      </w:r>
      <w:r w:rsidR="008E13A3">
        <w:rPr>
          <w:sz w:val="24"/>
          <w:szCs w:val="24"/>
        </w:rPr>
        <w:t xml:space="preserve">a </w:t>
      </w:r>
      <w:r w:rsidR="0099702B" w:rsidRPr="008E13A3">
        <w:rPr>
          <w:sz w:val="24"/>
          <w:szCs w:val="24"/>
        </w:rPr>
        <w:t xml:space="preserve">change </w:t>
      </w:r>
      <w:r w:rsidR="00E91803">
        <w:rPr>
          <w:sz w:val="24"/>
          <w:szCs w:val="24"/>
        </w:rPr>
        <w:t xml:space="preserve">in electric charges </w:t>
      </w:r>
      <w:r w:rsidR="0099702B" w:rsidRPr="008E13A3">
        <w:rPr>
          <w:sz w:val="24"/>
          <w:szCs w:val="24"/>
        </w:rPr>
        <w:t xml:space="preserve">without a </w:t>
      </w:r>
      <w:r w:rsidR="00F040B7">
        <w:rPr>
          <w:sz w:val="24"/>
          <w:szCs w:val="24"/>
        </w:rPr>
        <w:t>proper</w:t>
      </w:r>
      <w:r w:rsidR="0099702B" w:rsidRPr="008E13A3">
        <w:rPr>
          <w:sz w:val="24"/>
          <w:szCs w:val="24"/>
        </w:rPr>
        <w:t xml:space="preserve"> analysis of </w:t>
      </w:r>
      <w:r w:rsidR="00415474">
        <w:rPr>
          <w:sz w:val="24"/>
          <w:szCs w:val="24"/>
        </w:rPr>
        <w:t xml:space="preserve">the </w:t>
      </w:r>
      <w:r w:rsidR="0099702B" w:rsidRPr="008E13A3">
        <w:rPr>
          <w:sz w:val="24"/>
          <w:szCs w:val="24"/>
        </w:rPr>
        <w:t>customer impacts.</w:t>
      </w:r>
    </w:p>
    <w:p w:rsidR="007F394B" w:rsidRPr="003B7072" w:rsidRDefault="003B7072" w:rsidP="00130503">
      <w:pPr>
        <w:spacing w:line="480" w:lineRule="auto"/>
        <w:ind w:left="720" w:hanging="720"/>
        <w:jc w:val="both"/>
        <w:rPr>
          <w:b/>
          <w:sz w:val="24"/>
          <w:szCs w:val="24"/>
        </w:rPr>
      </w:pPr>
      <w:r w:rsidRPr="003B7072">
        <w:rPr>
          <w:b/>
          <w:sz w:val="24"/>
          <w:szCs w:val="24"/>
        </w:rPr>
        <w:t>Q.</w:t>
      </w:r>
      <w:r w:rsidRPr="003B7072">
        <w:rPr>
          <w:b/>
          <w:sz w:val="24"/>
          <w:szCs w:val="24"/>
        </w:rPr>
        <w:tab/>
        <w:t>From a financial standpoint, what is the value proposition to shareholders inherent in the Company’s proposal?</w:t>
      </w:r>
    </w:p>
    <w:p w:rsidR="003B7072" w:rsidRDefault="003B7072" w:rsidP="00130503">
      <w:pPr>
        <w:spacing w:line="480" w:lineRule="auto"/>
        <w:ind w:left="720" w:hanging="720"/>
        <w:jc w:val="both"/>
        <w:rPr>
          <w:sz w:val="24"/>
          <w:szCs w:val="24"/>
        </w:rPr>
      </w:pPr>
      <w:r>
        <w:rPr>
          <w:sz w:val="24"/>
          <w:szCs w:val="24"/>
        </w:rPr>
        <w:t>A.</w:t>
      </w:r>
      <w:r>
        <w:rPr>
          <w:sz w:val="24"/>
          <w:szCs w:val="24"/>
        </w:rPr>
        <w:tab/>
        <w:t xml:space="preserve">The higher capital expenditures associated with LED lighting installations would become part of the Company’s plant-in-service.  In a future base-rate proceeding, and in interim </w:t>
      </w:r>
      <w:r w:rsidR="00C870A8">
        <w:rPr>
          <w:sz w:val="24"/>
          <w:szCs w:val="24"/>
        </w:rPr>
        <w:t>DCRF</w:t>
      </w:r>
      <w:r>
        <w:rPr>
          <w:sz w:val="24"/>
          <w:szCs w:val="24"/>
        </w:rPr>
        <w:t xml:space="preserve"> rate proceedings between base-rate cases, the </w:t>
      </w:r>
      <w:r w:rsidR="008106A0">
        <w:rPr>
          <w:sz w:val="24"/>
          <w:szCs w:val="24"/>
        </w:rPr>
        <w:t xml:space="preserve">incremental plant-in-service </w:t>
      </w:r>
      <w:r>
        <w:rPr>
          <w:sz w:val="24"/>
          <w:szCs w:val="24"/>
        </w:rPr>
        <w:t>would be eligible</w:t>
      </w:r>
      <w:r w:rsidR="008106A0">
        <w:rPr>
          <w:sz w:val="24"/>
          <w:szCs w:val="24"/>
        </w:rPr>
        <w:t xml:space="preserve"> </w:t>
      </w:r>
      <w:r>
        <w:rPr>
          <w:sz w:val="24"/>
          <w:szCs w:val="24"/>
        </w:rPr>
        <w:t xml:space="preserve">for inclusion in rate base, and the Company would earn a return </w:t>
      </w:r>
      <w:r w:rsidRPr="006337E6">
        <w:rPr>
          <w:sz w:val="24"/>
          <w:szCs w:val="24"/>
        </w:rPr>
        <w:t xml:space="preserve">on </w:t>
      </w:r>
      <w:r w:rsidR="00C061A8" w:rsidRPr="006337E6">
        <w:rPr>
          <w:sz w:val="24"/>
          <w:szCs w:val="24"/>
        </w:rPr>
        <w:t>it</w:t>
      </w:r>
      <w:r w:rsidR="006337E6" w:rsidRPr="006337E6">
        <w:rPr>
          <w:sz w:val="24"/>
          <w:szCs w:val="24"/>
        </w:rPr>
        <w:t>.</w:t>
      </w:r>
      <w:r w:rsidR="006337E6">
        <w:rPr>
          <w:rStyle w:val="FootnoteReference"/>
          <w:sz w:val="24"/>
          <w:szCs w:val="24"/>
        </w:rPr>
        <w:footnoteReference w:id="121"/>
      </w:r>
      <w:r>
        <w:rPr>
          <w:sz w:val="24"/>
          <w:szCs w:val="24"/>
        </w:rPr>
        <w:t xml:space="preserve"> </w:t>
      </w:r>
    </w:p>
    <w:p w:rsidR="003B7072" w:rsidRDefault="003B7072" w:rsidP="00130503">
      <w:pPr>
        <w:spacing w:line="480" w:lineRule="auto"/>
        <w:ind w:left="720" w:hanging="720"/>
        <w:jc w:val="both"/>
        <w:rPr>
          <w:sz w:val="24"/>
          <w:szCs w:val="24"/>
        </w:rPr>
      </w:pPr>
      <w:r>
        <w:rPr>
          <w:sz w:val="24"/>
          <w:szCs w:val="24"/>
        </w:rPr>
        <w:lastRenderedPageBreak/>
        <w:tab/>
      </w:r>
      <w:r>
        <w:rPr>
          <w:sz w:val="24"/>
          <w:szCs w:val="24"/>
        </w:rPr>
        <w:tab/>
        <w:t xml:space="preserve">With respect to expenses, </w:t>
      </w:r>
      <w:r w:rsidR="003D5F04">
        <w:rPr>
          <w:sz w:val="24"/>
          <w:szCs w:val="24"/>
        </w:rPr>
        <w:t>the Company’s base rates would be set in this proceeding based on its Test-Year level of operations and maintenance expenses, which included its installed base of non-LED lighting.  The Company projects that its lighting-related operations and maintenance expenses will decline as a result of the use of LED lighting for new installations and replacements.</w:t>
      </w:r>
      <w:r w:rsidR="009738F2">
        <w:rPr>
          <w:rStyle w:val="FootnoteReference"/>
          <w:sz w:val="24"/>
          <w:szCs w:val="24"/>
        </w:rPr>
        <w:footnoteReference w:id="122"/>
      </w:r>
      <w:r w:rsidR="003D5F04">
        <w:rPr>
          <w:sz w:val="24"/>
          <w:szCs w:val="24"/>
        </w:rPr>
        <w:t xml:space="preserve"> </w:t>
      </w:r>
      <w:r w:rsidR="009738F2">
        <w:rPr>
          <w:sz w:val="24"/>
          <w:szCs w:val="24"/>
        </w:rPr>
        <w:t xml:space="preserve"> </w:t>
      </w:r>
      <w:r w:rsidR="003D5F04">
        <w:rPr>
          <w:sz w:val="24"/>
          <w:szCs w:val="24"/>
        </w:rPr>
        <w:t>Since O&amp;M expense are not eligible expenses under a DCRF, the Company’s O&amp;M expense</w:t>
      </w:r>
      <w:r w:rsidR="0016085C">
        <w:rPr>
          <w:sz w:val="24"/>
          <w:szCs w:val="24"/>
        </w:rPr>
        <w:t>s would be frozen</w:t>
      </w:r>
      <w:r w:rsidR="003D5F04">
        <w:rPr>
          <w:sz w:val="24"/>
          <w:szCs w:val="24"/>
        </w:rPr>
        <w:t xml:space="preserve"> in those proceedings, and between base-rate cases </w:t>
      </w:r>
      <w:r w:rsidR="00033354">
        <w:rPr>
          <w:sz w:val="24"/>
          <w:szCs w:val="24"/>
        </w:rPr>
        <w:t xml:space="preserve">the </w:t>
      </w:r>
      <w:r w:rsidR="00567630">
        <w:rPr>
          <w:sz w:val="24"/>
          <w:szCs w:val="24"/>
        </w:rPr>
        <w:t xml:space="preserve">base revenues associated with </w:t>
      </w:r>
      <w:r w:rsidR="00033354">
        <w:rPr>
          <w:sz w:val="24"/>
          <w:szCs w:val="24"/>
        </w:rPr>
        <w:t xml:space="preserve">avoided </w:t>
      </w:r>
      <w:r w:rsidR="003D5F04">
        <w:rPr>
          <w:sz w:val="24"/>
          <w:szCs w:val="24"/>
        </w:rPr>
        <w:t>O&amp;M cost</w:t>
      </w:r>
      <w:r w:rsidR="00C870A8">
        <w:rPr>
          <w:sz w:val="24"/>
          <w:szCs w:val="24"/>
        </w:rPr>
        <w:t>s</w:t>
      </w:r>
      <w:r w:rsidR="00033354">
        <w:rPr>
          <w:sz w:val="24"/>
          <w:szCs w:val="24"/>
        </w:rPr>
        <w:t xml:space="preserve"> would </w:t>
      </w:r>
      <w:r w:rsidR="008106A0">
        <w:rPr>
          <w:sz w:val="24"/>
          <w:szCs w:val="24"/>
        </w:rPr>
        <w:t xml:space="preserve">be </w:t>
      </w:r>
      <w:r w:rsidR="00033354">
        <w:rPr>
          <w:sz w:val="24"/>
          <w:szCs w:val="24"/>
        </w:rPr>
        <w:t>returned to shareholders.</w:t>
      </w:r>
    </w:p>
    <w:p w:rsidR="003D5F04" w:rsidRPr="003551CC" w:rsidRDefault="003551CC" w:rsidP="00130503">
      <w:pPr>
        <w:spacing w:line="480" w:lineRule="auto"/>
        <w:ind w:left="720" w:hanging="720"/>
        <w:jc w:val="both"/>
        <w:rPr>
          <w:b/>
          <w:sz w:val="24"/>
          <w:szCs w:val="24"/>
        </w:rPr>
      </w:pPr>
      <w:r w:rsidRPr="003551CC">
        <w:rPr>
          <w:b/>
          <w:sz w:val="24"/>
          <w:szCs w:val="24"/>
        </w:rPr>
        <w:t>Q.</w:t>
      </w:r>
      <w:r w:rsidRPr="003551CC">
        <w:rPr>
          <w:b/>
          <w:sz w:val="24"/>
          <w:szCs w:val="24"/>
        </w:rPr>
        <w:tab/>
        <w:t xml:space="preserve">From an economic policy standpoint, is there anything inherently wrong with a utility implementing a program that results in </w:t>
      </w:r>
      <w:r w:rsidR="00DF616F">
        <w:rPr>
          <w:b/>
          <w:sz w:val="24"/>
          <w:szCs w:val="24"/>
        </w:rPr>
        <w:t xml:space="preserve">avoided </w:t>
      </w:r>
      <w:r w:rsidRPr="003551CC">
        <w:rPr>
          <w:b/>
          <w:sz w:val="24"/>
          <w:szCs w:val="24"/>
        </w:rPr>
        <w:t>O&amp;M cost</w:t>
      </w:r>
      <w:r w:rsidR="00DF616F">
        <w:rPr>
          <w:b/>
          <w:sz w:val="24"/>
          <w:szCs w:val="24"/>
        </w:rPr>
        <w:t>s</w:t>
      </w:r>
      <w:r w:rsidRPr="003551CC">
        <w:rPr>
          <w:b/>
          <w:sz w:val="24"/>
          <w:szCs w:val="24"/>
        </w:rPr>
        <w:t xml:space="preserve"> and increased returns to shareholders in the near term until the next base-rate proceeding?</w:t>
      </w:r>
    </w:p>
    <w:p w:rsidR="00E51F9F" w:rsidRDefault="003551CC" w:rsidP="00130503">
      <w:pPr>
        <w:spacing w:line="480" w:lineRule="auto"/>
        <w:ind w:left="720" w:hanging="720"/>
        <w:jc w:val="both"/>
        <w:rPr>
          <w:sz w:val="24"/>
          <w:szCs w:val="24"/>
        </w:rPr>
      </w:pPr>
      <w:r>
        <w:rPr>
          <w:sz w:val="24"/>
          <w:szCs w:val="24"/>
        </w:rPr>
        <w:t>A.</w:t>
      </w:r>
      <w:r>
        <w:rPr>
          <w:sz w:val="24"/>
          <w:szCs w:val="24"/>
        </w:rPr>
        <w:tab/>
        <w:t>Not at all.  In fact, such programs are incen</w:t>
      </w:r>
      <w:r w:rsidR="00C32DDB">
        <w:rPr>
          <w:sz w:val="24"/>
          <w:szCs w:val="24"/>
        </w:rPr>
        <w:t xml:space="preserve">tivized under </w:t>
      </w:r>
      <w:r w:rsidR="00CA1831">
        <w:rPr>
          <w:sz w:val="24"/>
          <w:szCs w:val="24"/>
        </w:rPr>
        <w:t>ratemaking</w:t>
      </w:r>
      <w:r w:rsidR="00C32DDB">
        <w:rPr>
          <w:sz w:val="24"/>
          <w:szCs w:val="24"/>
        </w:rPr>
        <w:t xml:space="preserve"> in PURA</w:t>
      </w:r>
      <w:r w:rsidR="00CA1831">
        <w:rPr>
          <w:sz w:val="24"/>
          <w:szCs w:val="24"/>
        </w:rPr>
        <w:t>.</w:t>
      </w:r>
      <w:r w:rsidR="00E00983">
        <w:rPr>
          <w:rStyle w:val="FootnoteReference"/>
          <w:sz w:val="24"/>
          <w:szCs w:val="24"/>
        </w:rPr>
        <w:footnoteReference w:id="123"/>
      </w:r>
      <w:r w:rsidR="00CA1831">
        <w:rPr>
          <w:sz w:val="24"/>
          <w:szCs w:val="24"/>
        </w:rPr>
        <w:t xml:space="preserve">  However, the programs should not</w:t>
      </w:r>
      <w:r w:rsidR="0016085C">
        <w:rPr>
          <w:sz w:val="24"/>
          <w:szCs w:val="24"/>
        </w:rPr>
        <w:t xml:space="preserve"> benefit shareholders to </w:t>
      </w:r>
      <w:r w:rsidR="00112967">
        <w:rPr>
          <w:sz w:val="24"/>
          <w:szCs w:val="24"/>
        </w:rPr>
        <w:t xml:space="preserve">the </w:t>
      </w:r>
      <w:r w:rsidR="0016085C">
        <w:rPr>
          <w:sz w:val="24"/>
          <w:szCs w:val="24"/>
        </w:rPr>
        <w:t>significant</w:t>
      </w:r>
      <w:r w:rsidR="00CA1831">
        <w:rPr>
          <w:sz w:val="24"/>
          <w:szCs w:val="24"/>
        </w:rPr>
        <w:t xml:space="preserve"> detriment of ratepayers.  </w:t>
      </w:r>
    </w:p>
    <w:p w:rsidR="00C02D71" w:rsidRDefault="00C02D71" w:rsidP="00C02D71">
      <w:pPr>
        <w:suppressLineNumbers/>
        <w:spacing w:line="480" w:lineRule="auto"/>
        <w:ind w:left="720" w:hanging="720"/>
        <w:jc w:val="both"/>
        <w:rPr>
          <w:b/>
          <w:sz w:val="24"/>
          <w:szCs w:val="24"/>
        </w:rPr>
      </w:pPr>
    </w:p>
    <w:p w:rsidR="00A97DB2" w:rsidRDefault="00A97DB2" w:rsidP="00130503">
      <w:pPr>
        <w:spacing w:line="480" w:lineRule="auto"/>
        <w:ind w:left="720" w:hanging="720"/>
        <w:jc w:val="both"/>
        <w:rPr>
          <w:b/>
          <w:sz w:val="24"/>
          <w:szCs w:val="24"/>
        </w:rPr>
      </w:pPr>
      <w:r w:rsidRPr="00A97DB2">
        <w:rPr>
          <w:b/>
          <w:sz w:val="24"/>
          <w:szCs w:val="24"/>
        </w:rPr>
        <w:t>Q.</w:t>
      </w:r>
      <w:r w:rsidRPr="00A97DB2">
        <w:rPr>
          <w:b/>
          <w:sz w:val="24"/>
          <w:szCs w:val="24"/>
        </w:rPr>
        <w:tab/>
      </w:r>
      <w:r>
        <w:rPr>
          <w:b/>
          <w:sz w:val="24"/>
          <w:szCs w:val="24"/>
        </w:rPr>
        <w:t>Has the Company performed an overall analysis of the long-term financial benefits of the program for customers?</w:t>
      </w:r>
    </w:p>
    <w:p w:rsidR="00567630" w:rsidRPr="006D0098" w:rsidRDefault="00A97DB2" w:rsidP="00130503">
      <w:pPr>
        <w:spacing w:line="480" w:lineRule="auto"/>
        <w:ind w:left="720" w:hanging="720"/>
        <w:jc w:val="both"/>
        <w:rPr>
          <w:sz w:val="24"/>
          <w:szCs w:val="24"/>
        </w:rPr>
      </w:pPr>
      <w:r w:rsidRPr="005552C1">
        <w:rPr>
          <w:sz w:val="24"/>
          <w:szCs w:val="24"/>
        </w:rPr>
        <w:lastRenderedPageBreak/>
        <w:t xml:space="preserve"> </w:t>
      </w:r>
      <w:r w:rsidR="005552C1" w:rsidRPr="005552C1">
        <w:rPr>
          <w:sz w:val="24"/>
          <w:szCs w:val="24"/>
        </w:rPr>
        <w:t>A.</w:t>
      </w:r>
      <w:r w:rsidR="005552C1" w:rsidRPr="005552C1">
        <w:rPr>
          <w:sz w:val="24"/>
          <w:szCs w:val="24"/>
        </w:rPr>
        <w:tab/>
      </w:r>
      <w:r w:rsidR="005552C1" w:rsidRPr="006D0098">
        <w:rPr>
          <w:sz w:val="24"/>
          <w:szCs w:val="24"/>
        </w:rPr>
        <w:t xml:space="preserve">Yes.  </w:t>
      </w:r>
      <w:r w:rsidR="00236BA1" w:rsidRPr="006D0098">
        <w:rPr>
          <w:sz w:val="24"/>
          <w:szCs w:val="24"/>
        </w:rPr>
        <w:t xml:space="preserve">The Company projects that the higher upfront costs of the program will pay back in </w:t>
      </w:r>
      <w:r w:rsidR="00B450DA" w:rsidRPr="00B450DA">
        <w:rPr>
          <w:sz w:val="24"/>
          <w:szCs w:val="24"/>
          <w:highlight w:val="black"/>
        </w:rPr>
        <w:t>xxx</w:t>
      </w:r>
      <w:r w:rsidR="00236BA1" w:rsidRPr="006D0098">
        <w:rPr>
          <w:sz w:val="24"/>
          <w:szCs w:val="24"/>
        </w:rPr>
        <w:t xml:space="preserve"> years,</w:t>
      </w:r>
      <w:r w:rsidR="009324DF" w:rsidRPr="006D0098">
        <w:rPr>
          <w:rStyle w:val="FootnoteReference"/>
          <w:sz w:val="24"/>
          <w:szCs w:val="24"/>
        </w:rPr>
        <w:footnoteReference w:id="124"/>
      </w:r>
      <w:r w:rsidR="00236BA1" w:rsidRPr="006D0098">
        <w:rPr>
          <w:sz w:val="24"/>
          <w:szCs w:val="24"/>
        </w:rPr>
        <w:t xml:space="preserve"> which is the point at which the cumulative net present value of the </w:t>
      </w:r>
      <w:r w:rsidR="00432A4B" w:rsidRPr="006D0098">
        <w:rPr>
          <w:sz w:val="24"/>
          <w:szCs w:val="24"/>
        </w:rPr>
        <w:t xml:space="preserve">benefits of the program </w:t>
      </w:r>
      <w:r w:rsidR="00112967" w:rsidRPr="006D0098">
        <w:rPr>
          <w:sz w:val="24"/>
          <w:szCs w:val="24"/>
        </w:rPr>
        <w:t xml:space="preserve">(i.e., avoided costs) </w:t>
      </w:r>
      <w:r w:rsidR="00432A4B" w:rsidRPr="006D0098">
        <w:rPr>
          <w:sz w:val="24"/>
          <w:szCs w:val="24"/>
        </w:rPr>
        <w:t>exceeds the cumulative net present value of the costs of the program.</w:t>
      </w:r>
      <w:r w:rsidR="00E308F4" w:rsidRPr="006D0098">
        <w:rPr>
          <w:rStyle w:val="FootnoteReference"/>
          <w:sz w:val="24"/>
          <w:szCs w:val="24"/>
        </w:rPr>
        <w:footnoteReference w:id="125"/>
      </w:r>
      <w:r w:rsidR="00432A4B" w:rsidRPr="006D0098">
        <w:rPr>
          <w:sz w:val="24"/>
          <w:szCs w:val="24"/>
        </w:rPr>
        <w:t xml:space="preserve">  </w:t>
      </w:r>
    </w:p>
    <w:p w:rsidR="00E00983" w:rsidRPr="006D0098" w:rsidRDefault="00432A4B" w:rsidP="00567630">
      <w:pPr>
        <w:spacing w:line="480" w:lineRule="auto"/>
        <w:ind w:left="720" w:firstLine="720"/>
        <w:jc w:val="both"/>
        <w:rPr>
          <w:sz w:val="24"/>
          <w:szCs w:val="24"/>
        </w:rPr>
      </w:pPr>
      <w:r w:rsidRPr="006D0098">
        <w:rPr>
          <w:sz w:val="24"/>
          <w:szCs w:val="24"/>
        </w:rPr>
        <w:t>This is commonly referred to as a “payback period,” and in my experience is a financial metric that is commonly used by managers to decide if a program is worthwhil</w:t>
      </w:r>
      <w:r w:rsidR="00AB758E" w:rsidRPr="006D0098">
        <w:rPr>
          <w:sz w:val="24"/>
          <w:szCs w:val="24"/>
        </w:rPr>
        <w:t>e from a financial standpoint before the project is undertaken.</w:t>
      </w:r>
    </w:p>
    <w:p w:rsidR="00AB758E" w:rsidRPr="006D0098" w:rsidRDefault="00CD28E5" w:rsidP="00130503">
      <w:pPr>
        <w:spacing w:line="480" w:lineRule="auto"/>
        <w:ind w:left="720" w:hanging="720"/>
        <w:jc w:val="both"/>
        <w:rPr>
          <w:b/>
          <w:sz w:val="24"/>
          <w:szCs w:val="24"/>
        </w:rPr>
      </w:pPr>
      <w:r w:rsidRPr="006D0098">
        <w:rPr>
          <w:b/>
          <w:sz w:val="24"/>
          <w:szCs w:val="24"/>
        </w:rPr>
        <w:t>Q.</w:t>
      </w:r>
      <w:r w:rsidRPr="006D0098">
        <w:rPr>
          <w:b/>
          <w:sz w:val="24"/>
          <w:szCs w:val="24"/>
        </w:rPr>
        <w:tab/>
        <w:t xml:space="preserve">Based on the Company’s projected payback period of </w:t>
      </w:r>
      <w:r w:rsidR="00B450DA" w:rsidRPr="00B450DA">
        <w:rPr>
          <w:b/>
          <w:sz w:val="24"/>
          <w:szCs w:val="24"/>
          <w:highlight w:val="black"/>
        </w:rPr>
        <w:t>XXX</w:t>
      </w:r>
      <w:r w:rsidRPr="006D0098">
        <w:rPr>
          <w:b/>
          <w:sz w:val="24"/>
          <w:szCs w:val="24"/>
        </w:rPr>
        <w:t xml:space="preserve"> years, how would you characterize the financial performance of the </w:t>
      </w:r>
      <w:r w:rsidR="0065256B" w:rsidRPr="006D0098">
        <w:rPr>
          <w:b/>
          <w:sz w:val="24"/>
          <w:szCs w:val="24"/>
        </w:rPr>
        <w:t xml:space="preserve">proposed </w:t>
      </w:r>
      <w:r w:rsidRPr="006D0098">
        <w:rPr>
          <w:b/>
          <w:sz w:val="24"/>
          <w:szCs w:val="24"/>
        </w:rPr>
        <w:t>LED lighting program?</w:t>
      </w:r>
    </w:p>
    <w:p w:rsidR="00CD28E5" w:rsidRPr="006D0098" w:rsidRDefault="00494482" w:rsidP="00130503">
      <w:pPr>
        <w:spacing w:line="480" w:lineRule="auto"/>
        <w:ind w:left="720" w:hanging="720"/>
        <w:jc w:val="both"/>
        <w:rPr>
          <w:sz w:val="24"/>
          <w:szCs w:val="24"/>
        </w:rPr>
      </w:pPr>
      <w:r w:rsidRPr="006D0098">
        <w:rPr>
          <w:sz w:val="24"/>
          <w:szCs w:val="24"/>
        </w:rPr>
        <w:t>A.</w:t>
      </w:r>
      <w:r w:rsidRPr="006D0098">
        <w:rPr>
          <w:sz w:val="24"/>
          <w:szCs w:val="24"/>
        </w:rPr>
        <w:tab/>
        <w:t>Exceedingly poor.</w:t>
      </w:r>
    </w:p>
    <w:p w:rsidR="00D7087A" w:rsidRPr="00833168" w:rsidRDefault="00D7087A" w:rsidP="00D7087A">
      <w:pPr>
        <w:spacing w:line="480" w:lineRule="auto"/>
        <w:ind w:left="720" w:hanging="720"/>
        <w:jc w:val="both"/>
        <w:rPr>
          <w:b/>
          <w:sz w:val="24"/>
          <w:szCs w:val="24"/>
        </w:rPr>
      </w:pPr>
      <w:r w:rsidRPr="00833168">
        <w:rPr>
          <w:b/>
          <w:sz w:val="24"/>
          <w:szCs w:val="24"/>
        </w:rPr>
        <w:t>Q.</w:t>
      </w:r>
      <w:r w:rsidRPr="00833168">
        <w:rPr>
          <w:b/>
          <w:sz w:val="24"/>
          <w:szCs w:val="24"/>
        </w:rPr>
        <w:tab/>
        <w:t xml:space="preserve">What experience do you have </w:t>
      </w:r>
      <w:r w:rsidR="00654FFE">
        <w:rPr>
          <w:b/>
          <w:sz w:val="24"/>
          <w:szCs w:val="24"/>
        </w:rPr>
        <w:t>with the use of</w:t>
      </w:r>
      <w:r w:rsidRPr="00833168">
        <w:rPr>
          <w:b/>
          <w:sz w:val="24"/>
          <w:szCs w:val="24"/>
        </w:rPr>
        <w:t xml:space="preserve"> </w:t>
      </w:r>
      <w:r w:rsidR="00862D95">
        <w:rPr>
          <w:b/>
          <w:sz w:val="24"/>
          <w:szCs w:val="24"/>
        </w:rPr>
        <w:t xml:space="preserve">payback periods </w:t>
      </w:r>
      <w:r w:rsidR="00654FFE">
        <w:rPr>
          <w:b/>
          <w:sz w:val="24"/>
          <w:szCs w:val="24"/>
        </w:rPr>
        <w:t>to assess the financial performance of</w:t>
      </w:r>
      <w:r w:rsidRPr="00833168">
        <w:rPr>
          <w:b/>
          <w:sz w:val="24"/>
          <w:szCs w:val="24"/>
        </w:rPr>
        <w:t xml:space="preserve"> various types of projects?</w:t>
      </w:r>
    </w:p>
    <w:p w:rsidR="00833168" w:rsidRDefault="00833168" w:rsidP="00833168">
      <w:pPr>
        <w:spacing w:line="480" w:lineRule="auto"/>
        <w:ind w:left="720" w:hanging="720"/>
        <w:jc w:val="both"/>
        <w:rPr>
          <w:sz w:val="24"/>
          <w:szCs w:val="24"/>
        </w:rPr>
      </w:pPr>
      <w:r>
        <w:rPr>
          <w:sz w:val="24"/>
          <w:szCs w:val="24"/>
        </w:rPr>
        <w:lastRenderedPageBreak/>
        <w:t>A.</w:t>
      </w:r>
      <w:r>
        <w:rPr>
          <w:sz w:val="24"/>
          <w:szCs w:val="24"/>
        </w:rPr>
        <w:tab/>
        <w:t xml:space="preserve">From 1999 until 2000, </w:t>
      </w:r>
      <w:r w:rsidR="00E35049">
        <w:rPr>
          <w:sz w:val="24"/>
          <w:szCs w:val="24"/>
        </w:rPr>
        <w:t>I performed economic analyse</w:t>
      </w:r>
      <w:r w:rsidR="00D7087A" w:rsidRPr="00D7087A">
        <w:rPr>
          <w:sz w:val="24"/>
          <w:szCs w:val="24"/>
        </w:rPr>
        <w:t xml:space="preserve">s </w:t>
      </w:r>
      <w:r w:rsidR="00567630">
        <w:rPr>
          <w:sz w:val="24"/>
          <w:szCs w:val="24"/>
        </w:rPr>
        <w:t>for Xerox Corporation</w:t>
      </w:r>
      <w:r w:rsidR="00567630" w:rsidRPr="00D7087A">
        <w:rPr>
          <w:sz w:val="24"/>
          <w:szCs w:val="24"/>
        </w:rPr>
        <w:t xml:space="preserve"> </w:t>
      </w:r>
      <w:r w:rsidR="00D7087A" w:rsidRPr="00D7087A">
        <w:rPr>
          <w:sz w:val="24"/>
          <w:szCs w:val="24"/>
        </w:rPr>
        <w:t>in support of the deployment of large-scale document management systems</w:t>
      </w:r>
      <w:r w:rsidR="00862D95">
        <w:rPr>
          <w:sz w:val="24"/>
          <w:szCs w:val="24"/>
        </w:rPr>
        <w:t>,</w:t>
      </w:r>
      <w:r w:rsidR="00567630">
        <w:rPr>
          <w:rStyle w:val="FootnoteReference"/>
          <w:sz w:val="24"/>
          <w:szCs w:val="24"/>
        </w:rPr>
        <w:footnoteReference w:id="126"/>
      </w:r>
      <w:r w:rsidR="00862D95">
        <w:rPr>
          <w:sz w:val="24"/>
          <w:szCs w:val="24"/>
        </w:rPr>
        <w:t xml:space="preserve"> which included payback </w:t>
      </w:r>
      <w:r w:rsidR="000B6699">
        <w:rPr>
          <w:sz w:val="24"/>
          <w:szCs w:val="24"/>
        </w:rPr>
        <w:t xml:space="preserve">period </w:t>
      </w:r>
      <w:r w:rsidR="00862D95">
        <w:rPr>
          <w:sz w:val="24"/>
          <w:szCs w:val="24"/>
        </w:rPr>
        <w:t>and other financial metrics</w:t>
      </w:r>
      <w:r w:rsidR="00D7087A" w:rsidRPr="00D7087A">
        <w:rPr>
          <w:sz w:val="24"/>
          <w:szCs w:val="24"/>
        </w:rPr>
        <w:t xml:space="preserve">.  </w:t>
      </w:r>
    </w:p>
    <w:p w:rsidR="00833168" w:rsidRDefault="004D4FCD" w:rsidP="00833168">
      <w:pPr>
        <w:spacing w:line="480" w:lineRule="auto"/>
        <w:ind w:left="720" w:firstLine="720"/>
        <w:jc w:val="both"/>
        <w:rPr>
          <w:sz w:val="24"/>
          <w:szCs w:val="24"/>
        </w:rPr>
      </w:pPr>
      <w:r>
        <w:rPr>
          <w:sz w:val="24"/>
          <w:szCs w:val="24"/>
        </w:rPr>
        <w:t>From 2001 until 2005</w:t>
      </w:r>
      <w:r w:rsidR="00862D95">
        <w:rPr>
          <w:sz w:val="24"/>
          <w:szCs w:val="24"/>
        </w:rPr>
        <w:t xml:space="preserve">, </w:t>
      </w:r>
      <w:r w:rsidR="00833168">
        <w:rPr>
          <w:sz w:val="24"/>
          <w:szCs w:val="24"/>
        </w:rPr>
        <w:t xml:space="preserve">I worked </w:t>
      </w:r>
      <w:r w:rsidR="00862D95">
        <w:rPr>
          <w:sz w:val="24"/>
          <w:szCs w:val="24"/>
        </w:rPr>
        <w:t xml:space="preserve">as a financial analyst </w:t>
      </w:r>
      <w:r w:rsidR="00833168">
        <w:rPr>
          <w:sz w:val="24"/>
          <w:szCs w:val="24"/>
        </w:rPr>
        <w:t xml:space="preserve">for Prodigy Communications Corporation, </w:t>
      </w:r>
      <w:r w:rsidR="00127220">
        <w:rPr>
          <w:sz w:val="24"/>
          <w:szCs w:val="24"/>
        </w:rPr>
        <w:t xml:space="preserve">which was </w:t>
      </w:r>
      <w:r w:rsidR="00833168">
        <w:rPr>
          <w:sz w:val="24"/>
          <w:szCs w:val="24"/>
        </w:rPr>
        <w:t xml:space="preserve">later acquired by SBC Communications Corporation </w:t>
      </w:r>
      <w:r w:rsidR="00862D95">
        <w:rPr>
          <w:sz w:val="24"/>
          <w:szCs w:val="24"/>
        </w:rPr>
        <w:t xml:space="preserve">(now AT&amp;T).  </w:t>
      </w:r>
      <w:r w:rsidR="00833168" w:rsidRPr="00D7087A">
        <w:rPr>
          <w:sz w:val="24"/>
          <w:szCs w:val="24"/>
        </w:rPr>
        <w:t>While</w:t>
      </w:r>
      <w:r w:rsidR="00833168">
        <w:rPr>
          <w:sz w:val="24"/>
          <w:szCs w:val="24"/>
        </w:rPr>
        <w:t xml:space="preserve"> in this role</w:t>
      </w:r>
      <w:r w:rsidR="00833168" w:rsidRPr="00D7087A">
        <w:rPr>
          <w:sz w:val="24"/>
          <w:szCs w:val="24"/>
        </w:rPr>
        <w:t>, I analyzed the financial viability of product placement opportunities for DSL and d</w:t>
      </w:r>
      <w:r w:rsidR="00862D95">
        <w:rPr>
          <w:sz w:val="24"/>
          <w:szCs w:val="24"/>
        </w:rPr>
        <w:t>ial-up internet services.  The</w:t>
      </w:r>
      <w:r w:rsidR="00974629">
        <w:rPr>
          <w:sz w:val="24"/>
          <w:szCs w:val="24"/>
        </w:rPr>
        <w:t xml:space="preserve"> most important metric for the investment </w:t>
      </w:r>
      <w:r w:rsidR="00862D95">
        <w:rPr>
          <w:sz w:val="24"/>
          <w:szCs w:val="24"/>
        </w:rPr>
        <w:t>decision was payback period.</w:t>
      </w:r>
    </w:p>
    <w:p w:rsidR="004D4FCD" w:rsidRDefault="004D4FCD" w:rsidP="00833168">
      <w:pPr>
        <w:spacing w:line="480" w:lineRule="auto"/>
        <w:ind w:left="720" w:firstLine="720"/>
        <w:jc w:val="both"/>
        <w:rPr>
          <w:sz w:val="24"/>
          <w:szCs w:val="24"/>
        </w:rPr>
      </w:pPr>
      <w:r>
        <w:rPr>
          <w:sz w:val="24"/>
          <w:szCs w:val="24"/>
        </w:rPr>
        <w:t>From 2006 to 2009, I worked on special</w:t>
      </w:r>
      <w:r w:rsidR="00974629">
        <w:rPr>
          <w:sz w:val="24"/>
          <w:szCs w:val="24"/>
        </w:rPr>
        <w:t xml:space="preserve"> projects as a business analyst</w:t>
      </w:r>
      <w:r>
        <w:rPr>
          <w:sz w:val="24"/>
          <w:szCs w:val="24"/>
        </w:rPr>
        <w:t xml:space="preserve"> for the Texas Facilities Commission.  </w:t>
      </w:r>
      <w:r w:rsidR="00D7087A" w:rsidRPr="00D7087A">
        <w:rPr>
          <w:sz w:val="24"/>
          <w:szCs w:val="24"/>
        </w:rPr>
        <w:t xml:space="preserve">While at TFC, I analyzed the financial performance of various </w:t>
      </w:r>
      <w:r>
        <w:rPr>
          <w:sz w:val="24"/>
          <w:szCs w:val="24"/>
        </w:rPr>
        <w:t xml:space="preserve">construction </w:t>
      </w:r>
      <w:r w:rsidR="00D7087A" w:rsidRPr="00D7087A">
        <w:rPr>
          <w:sz w:val="24"/>
          <w:szCs w:val="24"/>
        </w:rPr>
        <w:t xml:space="preserve">proposals, including the installation </w:t>
      </w:r>
      <w:r>
        <w:rPr>
          <w:sz w:val="24"/>
          <w:szCs w:val="24"/>
        </w:rPr>
        <w:t xml:space="preserve">by Austin Energy </w:t>
      </w:r>
      <w:r w:rsidR="00D7087A" w:rsidRPr="00D7087A">
        <w:rPr>
          <w:sz w:val="24"/>
          <w:szCs w:val="24"/>
        </w:rPr>
        <w:t>of a ther</w:t>
      </w:r>
      <w:r w:rsidR="000B6699">
        <w:rPr>
          <w:sz w:val="24"/>
          <w:szCs w:val="24"/>
        </w:rPr>
        <w:t>mal storage system on the Capito</w:t>
      </w:r>
      <w:r w:rsidR="00D7087A" w:rsidRPr="00D7087A">
        <w:rPr>
          <w:sz w:val="24"/>
          <w:szCs w:val="24"/>
        </w:rPr>
        <w:t xml:space="preserve">l Complex’s cooling loop, the financial viability of high performance building construction as an alternative building type for new State facilities, and offers to purchase State buildings and lease them back to the State.  </w:t>
      </w:r>
      <w:r>
        <w:rPr>
          <w:sz w:val="24"/>
          <w:szCs w:val="24"/>
        </w:rPr>
        <w:t xml:space="preserve">In this role, payback period was again the metric that was most often relied upon </w:t>
      </w:r>
      <w:r w:rsidR="00112967">
        <w:rPr>
          <w:sz w:val="24"/>
          <w:szCs w:val="24"/>
        </w:rPr>
        <w:t xml:space="preserve">by management </w:t>
      </w:r>
      <w:r>
        <w:rPr>
          <w:sz w:val="24"/>
          <w:szCs w:val="24"/>
        </w:rPr>
        <w:t xml:space="preserve">to assess the financial viability of </w:t>
      </w:r>
      <w:r w:rsidR="00127220">
        <w:rPr>
          <w:sz w:val="24"/>
          <w:szCs w:val="24"/>
        </w:rPr>
        <w:t>a</w:t>
      </w:r>
      <w:r>
        <w:rPr>
          <w:sz w:val="24"/>
          <w:szCs w:val="24"/>
        </w:rPr>
        <w:t xml:space="preserve"> </w:t>
      </w:r>
      <w:r w:rsidR="00127220">
        <w:rPr>
          <w:sz w:val="24"/>
          <w:szCs w:val="24"/>
        </w:rPr>
        <w:t xml:space="preserve">potential </w:t>
      </w:r>
      <w:r>
        <w:rPr>
          <w:sz w:val="24"/>
          <w:szCs w:val="24"/>
        </w:rPr>
        <w:t>project.</w:t>
      </w:r>
    </w:p>
    <w:p w:rsidR="00417223" w:rsidRPr="005552C1" w:rsidRDefault="00B5726A" w:rsidP="00833168">
      <w:pPr>
        <w:spacing w:line="480" w:lineRule="auto"/>
        <w:ind w:left="720" w:firstLine="720"/>
        <w:jc w:val="both"/>
        <w:rPr>
          <w:sz w:val="24"/>
          <w:szCs w:val="24"/>
        </w:rPr>
      </w:pPr>
      <w:r>
        <w:rPr>
          <w:sz w:val="24"/>
          <w:szCs w:val="24"/>
        </w:rPr>
        <w:lastRenderedPageBreak/>
        <w:t xml:space="preserve">From 2017 to 2018, I worked for Potomac Electric Power Company as a senior rate analyst.  </w:t>
      </w:r>
      <w:r w:rsidR="00D7087A" w:rsidRPr="00D7087A">
        <w:rPr>
          <w:sz w:val="24"/>
          <w:szCs w:val="24"/>
        </w:rPr>
        <w:t xml:space="preserve">While at Pepco, I analyzed the financial performance </w:t>
      </w:r>
      <w:r w:rsidR="00112967">
        <w:rPr>
          <w:sz w:val="24"/>
          <w:szCs w:val="24"/>
        </w:rPr>
        <w:t xml:space="preserve">of </w:t>
      </w:r>
      <w:r w:rsidR="00D7087A" w:rsidRPr="00D7087A">
        <w:rPr>
          <w:sz w:val="24"/>
          <w:szCs w:val="24"/>
        </w:rPr>
        <w:t>proposals to und</w:t>
      </w:r>
      <w:r>
        <w:rPr>
          <w:sz w:val="24"/>
          <w:szCs w:val="24"/>
        </w:rPr>
        <w:t>erground distribution feeders.</w:t>
      </w:r>
    </w:p>
    <w:p w:rsidR="00F066D0" w:rsidRPr="00F066D0" w:rsidRDefault="00F066D0" w:rsidP="00F066D0">
      <w:pPr>
        <w:spacing w:line="480" w:lineRule="auto"/>
        <w:ind w:left="720" w:hanging="720"/>
        <w:jc w:val="both"/>
        <w:rPr>
          <w:b/>
          <w:sz w:val="24"/>
          <w:szCs w:val="24"/>
        </w:rPr>
      </w:pPr>
      <w:r w:rsidRPr="00F066D0">
        <w:rPr>
          <w:b/>
          <w:sz w:val="24"/>
          <w:szCs w:val="24"/>
        </w:rPr>
        <w:t>Q.</w:t>
      </w:r>
      <w:r w:rsidRPr="00F066D0">
        <w:rPr>
          <w:b/>
          <w:sz w:val="24"/>
          <w:szCs w:val="24"/>
        </w:rPr>
        <w:tab/>
        <w:t xml:space="preserve">In your experience, what payback periods </w:t>
      </w:r>
      <w:r>
        <w:rPr>
          <w:b/>
          <w:sz w:val="24"/>
          <w:szCs w:val="24"/>
        </w:rPr>
        <w:t>have been considered</w:t>
      </w:r>
      <w:r w:rsidRPr="00F066D0">
        <w:rPr>
          <w:b/>
          <w:sz w:val="24"/>
          <w:szCs w:val="24"/>
        </w:rPr>
        <w:t xml:space="preserve"> acceptable versus unacceptable</w:t>
      </w:r>
      <w:r>
        <w:rPr>
          <w:b/>
          <w:sz w:val="24"/>
          <w:szCs w:val="24"/>
        </w:rPr>
        <w:t xml:space="preserve"> in management’s decision</w:t>
      </w:r>
      <w:r w:rsidR="00112967">
        <w:rPr>
          <w:b/>
          <w:sz w:val="24"/>
          <w:szCs w:val="24"/>
        </w:rPr>
        <w:t>s</w:t>
      </w:r>
      <w:r>
        <w:rPr>
          <w:b/>
          <w:sz w:val="24"/>
          <w:szCs w:val="24"/>
        </w:rPr>
        <w:t xml:space="preserve"> to pursue or reject a potential project</w:t>
      </w:r>
      <w:r w:rsidRPr="00F066D0">
        <w:rPr>
          <w:b/>
          <w:sz w:val="24"/>
          <w:szCs w:val="24"/>
        </w:rPr>
        <w:t>?</w:t>
      </w:r>
    </w:p>
    <w:p w:rsidR="00F066D0" w:rsidRPr="00F066D0" w:rsidRDefault="00F066D0" w:rsidP="0016085C">
      <w:pPr>
        <w:spacing w:line="480" w:lineRule="auto"/>
        <w:ind w:left="720" w:hanging="720"/>
        <w:jc w:val="both"/>
        <w:rPr>
          <w:sz w:val="24"/>
          <w:szCs w:val="24"/>
        </w:rPr>
      </w:pPr>
      <w:r>
        <w:rPr>
          <w:sz w:val="24"/>
          <w:szCs w:val="24"/>
        </w:rPr>
        <w:t>A.</w:t>
      </w:r>
      <w:r>
        <w:rPr>
          <w:sz w:val="24"/>
          <w:szCs w:val="24"/>
        </w:rPr>
        <w:tab/>
      </w:r>
      <w:r w:rsidRPr="00F066D0">
        <w:rPr>
          <w:sz w:val="24"/>
          <w:szCs w:val="24"/>
        </w:rPr>
        <w:t>In my experience, for-profit entities require a one</w:t>
      </w:r>
      <w:r w:rsidR="001237C9">
        <w:rPr>
          <w:sz w:val="24"/>
          <w:szCs w:val="24"/>
        </w:rPr>
        <w:t>- to two-</w:t>
      </w:r>
      <w:r w:rsidRPr="00F066D0">
        <w:rPr>
          <w:sz w:val="24"/>
          <w:szCs w:val="24"/>
        </w:rPr>
        <w:t xml:space="preserve">year payback </w:t>
      </w:r>
      <w:r w:rsidR="001237C9">
        <w:rPr>
          <w:sz w:val="24"/>
          <w:szCs w:val="24"/>
        </w:rPr>
        <w:t xml:space="preserve">period </w:t>
      </w:r>
      <w:r w:rsidRPr="00F066D0">
        <w:rPr>
          <w:sz w:val="24"/>
          <w:szCs w:val="24"/>
        </w:rPr>
        <w:t>on investments.  In other words, the investment must go cash positive within 24 months.  A for-profit entity may be willing to stretch th</w:t>
      </w:r>
      <w:r w:rsidR="001237C9">
        <w:rPr>
          <w:sz w:val="24"/>
          <w:szCs w:val="24"/>
        </w:rPr>
        <w:t>e</w:t>
      </w:r>
      <w:r w:rsidRPr="00F066D0">
        <w:rPr>
          <w:sz w:val="24"/>
          <w:szCs w:val="24"/>
        </w:rPr>
        <w:t xml:space="preserve"> payback </w:t>
      </w:r>
      <w:r w:rsidR="001E6B71">
        <w:rPr>
          <w:sz w:val="24"/>
          <w:szCs w:val="24"/>
        </w:rPr>
        <w:t xml:space="preserve">period </w:t>
      </w:r>
      <w:r w:rsidRPr="00F066D0">
        <w:rPr>
          <w:sz w:val="24"/>
          <w:szCs w:val="24"/>
        </w:rPr>
        <w:t xml:space="preserve">to three years for an extraordinary project with tremendous profit potential.  </w:t>
      </w:r>
    </w:p>
    <w:p w:rsidR="00F066D0" w:rsidRPr="00F066D0" w:rsidRDefault="00F066D0" w:rsidP="001E6B71">
      <w:pPr>
        <w:spacing w:line="480" w:lineRule="auto"/>
        <w:ind w:left="720" w:firstLine="720"/>
        <w:jc w:val="both"/>
        <w:rPr>
          <w:sz w:val="24"/>
          <w:szCs w:val="24"/>
        </w:rPr>
      </w:pPr>
      <w:r w:rsidRPr="00F066D0">
        <w:rPr>
          <w:sz w:val="24"/>
          <w:szCs w:val="24"/>
        </w:rPr>
        <w:t>In my experience, a not-for-profit entity is willi</w:t>
      </w:r>
      <w:r w:rsidR="0016085C">
        <w:rPr>
          <w:sz w:val="24"/>
          <w:szCs w:val="24"/>
        </w:rPr>
        <w:t xml:space="preserve">ng to entertain projects with </w:t>
      </w:r>
      <w:r w:rsidR="001237C9">
        <w:rPr>
          <w:sz w:val="24"/>
          <w:szCs w:val="24"/>
        </w:rPr>
        <w:t xml:space="preserve">a </w:t>
      </w:r>
      <w:r w:rsidRPr="00F066D0">
        <w:rPr>
          <w:sz w:val="24"/>
          <w:szCs w:val="24"/>
        </w:rPr>
        <w:t>longer payback period, from five years up to 7 years or so.  Part of the reason is that these entities may have access to capital at lower rates and do not h</w:t>
      </w:r>
      <w:r w:rsidR="00BF164E">
        <w:rPr>
          <w:sz w:val="24"/>
          <w:szCs w:val="24"/>
        </w:rPr>
        <w:t>ave to answer to shareholders.</w:t>
      </w:r>
    </w:p>
    <w:p w:rsidR="00CA1831" w:rsidRPr="006D0098" w:rsidRDefault="00F066D0" w:rsidP="00DF616F">
      <w:pPr>
        <w:spacing w:line="480" w:lineRule="auto"/>
        <w:ind w:left="720" w:hanging="720"/>
        <w:jc w:val="both"/>
        <w:rPr>
          <w:sz w:val="24"/>
          <w:szCs w:val="24"/>
        </w:rPr>
      </w:pPr>
      <w:r w:rsidRPr="00F066D0">
        <w:rPr>
          <w:sz w:val="24"/>
          <w:szCs w:val="24"/>
        </w:rPr>
        <w:tab/>
      </w:r>
      <w:r w:rsidR="001E6B71">
        <w:rPr>
          <w:sz w:val="24"/>
          <w:szCs w:val="24"/>
        </w:rPr>
        <w:tab/>
      </w:r>
      <w:r w:rsidRPr="00F066D0">
        <w:rPr>
          <w:sz w:val="24"/>
          <w:szCs w:val="24"/>
        </w:rPr>
        <w:t>For all types of en</w:t>
      </w:r>
      <w:r w:rsidR="001E6B71">
        <w:rPr>
          <w:sz w:val="24"/>
          <w:szCs w:val="24"/>
        </w:rPr>
        <w:t xml:space="preserve">tities, </w:t>
      </w:r>
      <w:r w:rsidR="001237C9">
        <w:rPr>
          <w:sz w:val="24"/>
          <w:szCs w:val="24"/>
        </w:rPr>
        <w:t xml:space="preserve">in my </w:t>
      </w:r>
      <w:r w:rsidR="001237C9" w:rsidRPr="006D0098">
        <w:rPr>
          <w:sz w:val="24"/>
          <w:szCs w:val="24"/>
        </w:rPr>
        <w:t xml:space="preserve">experience </w:t>
      </w:r>
      <w:r w:rsidR="00DF616F" w:rsidRPr="006D0098">
        <w:rPr>
          <w:sz w:val="24"/>
          <w:szCs w:val="24"/>
        </w:rPr>
        <w:t xml:space="preserve">a </w:t>
      </w:r>
      <w:r w:rsidR="00B450DA" w:rsidRPr="00B450DA">
        <w:rPr>
          <w:sz w:val="24"/>
          <w:szCs w:val="24"/>
          <w:highlight w:val="black"/>
        </w:rPr>
        <w:t>xxx</w:t>
      </w:r>
      <w:r w:rsidR="00DF616F" w:rsidRPr="006D0098">
        <w:rPr>
          <w:sz w:val="24"/>
          <w:szCs w:val="24"/>
        </w:rPr>
        <w:t xml:space="preserve"> payback period—</w:t>
      </w:r>
      <w:r w:rsidR="00112967" w:rsidRPr="006D0098">
        <w:rPr>
          <w:sz w:val="24"/>
          <w:szCs w:val="24"/>
        </w:rPr>
        <w:t xml:space="preserve">such as </w:t>
      </w:r>
      <w:r w:rsidR="001E6B71" w:rsidRPr="006D0098">
        <w:rPr>
          <w:sz w:val="24"/>
          <w:szCs w:val="24"/>
        </w:rPr>
        <w:t xml:space="preserve">associated with </w:t>
      </w:r>
      <w:r w:rsidR="00C8262C" w:rsidRPr="006D0098">
        <w:rPr>
          <w:sz w:val="24"/>
          <w:szCs w:val="24"/>
        </w:rPr>
        <w:t>CEHE</w:t>
      </w:r>
      <w:r w:rsidR="001E6B71" w:rsidRPr="006D0098">
        <w:rPr>
          <w:sz w:val="24"/>
          <w:szCs w:val="24"/>
        </w:rPr>
        <w:t>’s LED lighting proposal</w:t>
      </w:r>
      <w:r w:rsidR="00DF616F" w:rsidRPr="006D0098">
        <w:rPr>
          <w:sz w:val="24"/>
          <w:szCs w:val="24"/>
        </w:rPr>
        <w:t>—</w:t>
      </w:r>
      <w:r w:rsidRPr="006D0098">
        <w:rPr>
          <w:sz w:val="24"/>
          <w:szCs w:val="24"/>
        </w:rPr>
        <w:t xml:space="preserve">would be well </w:t>
      </w:r>
      <w:r w:rsidR="00D35340" w:rsidRPr="006D0098">
        <w:rPr>
          <w:sz w:val="24"/>
          <w:szCs w:val="24"/>
        </w:rPr>
        <w:t>above</w:t>
      </w:r>
      <w:r w:rsidRPr="006D0098">
        <w:rPr>
          <w:sz w:val="24"/>
          <w:szCs w:val="24"/>
        </w:rPr>
        <w:t xml:space="preserve"> the </w:t>
      </w:r>
      <w:r w:rsidR="00D35340" w:rsidRPr="006D0098">
        <w:rPr>
          <w:sz w:val="24"/>
          <w:szCs w:val="24"/>
        </w:rPr>
        <w:t>acceptable limit</w:t>
      </w:r>
      <w:r w:rsidRPr="006D0098">
        <w:rPr>
          <w:sz w:val="24"/>
          <w:szCs w:val="24"/>
        </w:rPr>
        <w:t xml:space="preserve"> </w:t>
      </w:r>
      <w:r w:rsidR="00D35340" w:rsidRPr="006D0098">
        <w:rPr>
          <w:sz w:val="24"/>
          <w:szCs w:val="24"/>
        </w:rPr>
        <w:t xml:space="preserve">for a project to merit </w:t>
      </w:r>
      <w:r w:rsidR="00112967" w:rsidRPr="006D0098">
        <w:rPr>
          <w:sz w:val="24"/>
          <w:szCs w:val="24"/>
        </w:rPr>
        <w:t>consideration</w:t>
      </w:r>
      <w:r w:rsidR="001237C9" w:rsidRPr="006D0098">
        <w:rPr>
          <w:sz w:val="24"/>
          <w:szCs w:val="24"/>
        </w:rPr>
        <w:t xml:space="preserve"> for implementation</w:t>
      </w:r>
      <w:r w:rsidRPr="006D0098">
        <w:rPr>
          <w:sz w:val="24"/>
          <w:szCs w:val="24"/>
        </w:rPr>
        <w:t xml:space="preserve">.  </w:t>
      </w:r>
      <w:r w:rsidR="00CE2586" w:rsidRPr="006D0098">
        <w:rPr>
          <w:sz w:val="24"/>
          <w:szCs w:val="24"/>
        </w:rPr>
        <w:t>I</w:t>
      </w:r>
      <w:r w:rsidR="00BF164E" w:rsidRPr="006D0098">
        <w:rPr>
          <w:sz w:val="24"/>
          <w:szCs w:val="24"/>
        </w:rPr>
        <w:t>n</w:t>
      </w:r>
      <w:r w:rsidR="00CE2586" w:rsidRPr="006D0098">
        <w:rPr>
          <w:sz w:val="24"/>
          <w:szCs w:val="24"/>
        </w:rPr>
        <w:t xml:space="preserve"> my experience, a</w:t>
      </w:r>
      <w:r w:rsidRPr="006D0098">
        <w:rPr>
          <w:sz w:val="24"/>
          <w:szCs w:val="24"/>
        </w:rPr>
        <w:t xml:space="preserve"> proposed project with a payback period of that length would be rejected out of hand in the initial planning phases, would n</w:t>
      </w:r>
      <w:r w:rsidR="00CE2586" w:rsidRPr="006D0098">
        <w:rPr>
          <w:sz w:val="24"/>
          <w:szCs w:val="24"/>
        </w:rPr>
        <w:t>ot</w:t>
      </w:r>
      <w:r w:rsidRPr="006D0098">
        <w:rPr>
          <w:sz w:val="24"/>
          <w:szCs w:val="24"/>
        </w:rPr>
        <w:t xml:space="preserve"> be approved by </w:t>
      </w:r>
      <w:r w:rsidRPr="006D0098">
        <w:rPr>
          <w:sz w:val="24"/>
          <w:szCs w:val="24"/>
        </w:rPr>
        <w:lastRenderedPageBreak/>
        <w:t xml:space="preserve">management, and would never be implemented.  In fact, </w:t>
      </w:r>
      <w:r w:rsidR="00112967" w:rsidRPr="006D0098">
        <w:rPr>
          <w:sz w:val="24"/>
          <w:szCs w:val="24"/>
        </w:rPr>
        <w:t xml:space="preserve">in my experience </w:t>
      </w:r>
      <w:r w:rsidRPr="006D0098">
        <w:rPr>
          <w:sz w:val="24"/>
          <w:szCs w:val="24"/>
        </w:rPr>
        <w:t xml:space="preserve">a project with </w:t>
      </w:r>
      <w:r w:rsidR="0016085C" w:rsidRPr="006D0098">
        <w:rPr>
          <w:sz w:val="24"/>
          <w:szCs w:val="24"/>
        </w:rPr>
        <w:t>such an</w:t>
      </w:r>
      <w:r w:rsidRPr="006D0098">
        <w:rPr>
          <w:sz w:val="24"/>
          <w:szCs w:val="24"/>
        </w:rPr>
        <w:t xml:space="preserve"> </w:t>
      </w:r>
      <w:r w:rsidR="001237C9" w:rsidRPr="006D0098">
        <w:rPr>
          <w:sz w:val="24"/>
          <w:szCs w:val="24"/>
        </w:rPr>
        <w:t>extreme</w:t>
      </w:r>
      <w:r w:rsidR="001E6B71" w:rsidRPr="006D0098">
        <w:rPr>
          <w:sz w:val="24"/>
          <w:szCs w:val="24"/>
        </w:rPr>
        <w:t xml:space="preserve"> </w:t>
      </w:r>
      <w:r w:rsidRPr="006D0098">
        <w:rPr>
          <w:sz w:val="24"/>
          <w:szCs w:val="24"/>
        </w:rPr>
        <w:t xml:space="preserve">payback period would </w:t>
      </w:r>
      <w:r w:rsidR="00112967" w:rsidRPr="006D0098">
        <w:rPr>
          <w:sz w:val="24"/>
          <w:szCs w:val="24"/>
        </w:rPr>
        <w:t>n</w:t>
      </w:r>
      <w:r w:rsidRPr="006D0098">
        <w:rPr>
          <w:sz w:val="24"/>
          <w:szCs w:val="24"/>
        </w:rPr>
        <w:t>ever be present</w:t>
      </w:r>
      <w:r w:rsidR="001E6B71" w:rsidRPr="006D0098">
        <w:rPr>
          <w:sz w:val="24"/>
          <w:szCs w:val="24"/>
        </w:rPr>
        <w:t>ed to management for approval.</w:t>
      </w:r>
    </w:p>
    <w:p w:rsidR="001E6B71" w:rsidRPr="006D0098" w:rsidRDefault="00281891" w:rsidP="00F066D0">
      <w:pPr>
        <w:spacing w:line="480" w:lineRule="auto"/>
        <w:ind w:left="720" w:hanging="720"/>
        <w:jc w:val="both"/>
        <w:rPr>
          <w:sz w:val="24"/>
          <w:szCs w:val="24"/>
        </w:rPr>
      </w:pPr>
      <w:r w:rsidRPr="006D0098">
        <w:rPr>
          <w:sz w:val="24"/>
          <w:szCs w:val="24"/>
        </w:rPr>
        <w:tab/>
      </w:r>
      <w:r w:rsidRPr="006D0098">
        <w:rPr>
          <w:sz w:val="24"/>
          <w:szCs w:val="24"/>
        </w:rPr>
        <w:tab/>
        <w:t>Simply put, the proposed LED lighting project represents ex</w:t>
      </w:r>
      <w:r w:rsidR="001237C9" w:rsidRPr="006D0098">
        <w:rPr>
          <w:sz w:val="24"/>
          <w:szCs w:val="24"/>
        </w:rPr>
        <w:t>ceedingly</w:t>
      </w:r>
      <w:r w:rsidRPr="006D0098">
        <w:rPr>
          <w:sz w:val="24"/>
          <w:szCs w:val="24"/>
        </w:rPr>
        <w:t xml:space="preserve"> poor financial value for </w:t>
      </w:r>
      <w:r w:rsidR="00C8262C" w:rsidRPr="006D0098">
        <w:rPr>
          <w:sz w:val="24"/>
          <w:szCs w:val="24"/>
        </w:rPr>
        <w:t>CEHE</w:t>
      </w:r>
      <w:r w:rsidRPr="006D0098">
        <w:rPr>
          <w:sz w:val="24"/>
          <w:szCs w:val="24"/>
        </w:rPr>
        <w:t>’</w:t>
      </w:r>
      <w:r w:rsidR="00B11B33" w:rsidRPr="006D0098">
        <w:rPr>
          <w:sz w:val="24"/>
          <w:szCs w:val="24"/>
        </w:rPr>
        <w:t xml:space="preserve">s </w:t>
      </w:r>
      <w:r w:rsidR="003D5F5E" w:rsidRPr="006D0098">
        <w:rPr>
          <w:sz w:val="24"/>
          <w:szCs w:val="24"/>
        </w:rPr>
        <w:t>lighting customers</w:t>
      </w:r>
      <w:r w:rsidR="00B11B33" w:rsidRPr="006D0098">
        <w:rPr>
          <w:sz w:val="24"/>
          <w:szCs w:val="24"/>
        </w:rPr>
        <w:t xml:space="preserve">, based on </w:t>
      </w:r>
      <w:r w:rsidR="00C8262C" w:rsidRPr="006D0098">
        <w:rPr>
          <w:sz w:val="24"/>
          <w:szCs w:val="24"/>
        </w:rPr>
        <w:t>CEHE</w:t>
      </w:r>
      <w:r w:rsidR="00B11B33" w:rsidRPr="006D0098">
        <w:rPr>
          <w:sz w:val="24"/>
          <w:szCs w:val="24"/>
        </w:rPr>
        <w:t xml:space="preserve">’s </w:t>
      </w:r>
      <w:r w:rsidR="00C215E0" w:rsidRPr="006D0098">
        <w:rPr>
          <w:sz w:val="24"/>
          <w:szCs w:val="24"/>
        </w:rPr>
        <w:t xml:space="preserve">own </w:t>
      </w:r>
      <w:r w:rsidR="00B11B33" w:rsidRPr="006D0098">
        <w:rPr>
          <w:sz w:val="24"/>
          <w:szCs w:val="24"/>
        </w:rPr>
        <w:t>analysis.</w:t>
      </w:r>
    </w:p>
    <w:p w:rsidR="00B008D4" w:rsidRPr="006D0098" w:rsidRDefault="00B008D4" w:rsidP="00130503">
      <w:pPr>
        <w:spacing w:line="480" w:lineRule="auto"/>
        <w:ind w:left="720" w:hanging="720"/>
        <w:jc w:val="both"/>
        <w:rPr>
          <w:b/>
          <w:sz w:val="24"/>
          <w:szCs w:val="24"/>
        </w:rPr>
      </w:pPr>
      <w:r w:rsidRPr="006D0098">
        <w:rPr>
          <w:b/>
          <w:sz w:val="24"/>
          <w:szCs w:val="24"/>
        </w:rPr>
        <w:t>Q.</w:t>
      </w:r>
      <w:r w:rsidRPr="006D0098">
        <w:rPr>
          <w:b/>
          <w:sz w:val="24"/>
          <w:szCs w:val="24"/>
        </w:rPr>
        <w:tab/>
      </w:r>
      <w:r w:rsidR="0035330C" w:rsidRPr="006D0098">
        <w:rPr>
          <w:b/>
          <w:sz w:val="24"/>
          <w:szCs w:val="24"/>
        </w:rPr>
        <w:t>D</w:t>
      </w:r>
      <w:r w:rsidRPr="006D0098">
        <w:rPr>
          <w:b/>
          <w:sz w:val="24"/>
          <w:szCs w:val="24"/>
        </w:rPr>
        <w:t>o you have any other concerns about the financial performance of the LED lighting program?</w:t>
      </w:r>
    </w:p>
    <w:p w:rsidR="00503115" w:rsidRDefault="00014082" w:rsidP="002640AC">
      <w:pPr>
        <w:spacing w:line="480" w:lineRule="auto"/>
        <w:ind w:left="720" w:hanging="720"/>
        <w:jc w:val="both"/>
        <w:rPr>
          <w:sz w:val="24"/>
          <w:szCs w:val="24"/>
        </w:rPr>
      </w:pPr>
      <w:r w:rsidRPr="006D0098">
        <w:rPr>
          <w:sz w:val="24"/>
          <w:szCs w:val="24"/>
        </w:rPr>
        <w:t>A.</w:t>
      </w:r>
      <w:r w:rsidRPr="006D0098">
        <w:rPr>
          <w:sz w:val="24"/>
          <w:szCs w:val="24"/>
        </w:rPr>
        <w:tab/>
      </w:r>
      <w:r w:rsidR="00503115" w:rsidRPr="006D0098">
        <w:rPr>
          <w:sz w:val="24"/>
          <w:szCs w:val="24"/>
        </w:rPr>
        <w:t>Yes.  I am concerned about the risks associated with the program.  In my opinion, there is an unacceptable likelihood that the program will n</w:t>
      </w:r>
      <w:r w:rsidR="00D9683C" w:rsidRPr="006D0098">
        <w:rPr>
          <w:sz w:val="24"/>
          <w:szCs w:val="24"/>
        </w:rPr>
        <w:t>ot</w:t>
      </w:r>
      <w:r w:rsidR="00503115" w:rsidRPr="006D0098">
        <w:rPr>
          <w:sz w:val="24"/>
          <w:szCs w:val="24"/>
        </w:rPr>
        <w:t xml:space="preserve"> return </w:t>
      </w:r>
      <w:r w:rsidR="001F1A9D" w:rsidRPr="006D0098">
        <w:rPr>
          <w:sz w:val="24"/>
          <w:szCs w:val="24"/>
        </w:rPr>
        <w:t xml:space="preserve">financial </w:t>
      </w:r>
      <w:r w:rsidR="00DF616F" w:rsidRPr="006D0098">
        <w:rPr>
          <w:sz w:val="24"/>
          <w:szCs w:val="24"/>
        </w:rPr>
        <w:t>gains</w:t>
      </w:r>
      <w:r w:rsidR="0016085C" w:rsidRPr="006D0098">
        <w:rPr>
          <w:sz w:val="24"/>
          <w:szCs w:val="24"/>
        </w:rPr>
        <w:t xml:space="preserve"> to customers over any time period</w:t>
      </w:r>
      <w:r w:rsidR="001F1A9D" w:rsidRPr="006D0098">
        <w:rPr>
          <w:sz w:val="24"/>
          <w:szCs w:val="24"/>
        </w:rPr>
        <w:t>.</w:t>
      </w:r>
      <w:r w:rsidR="002640AC" w:rsidRPr="006D0098">
        <w:rPr>
          <w:sz w:val="24"/>
          <w:szCs w:val="24"/>
        </w:rPr>
        <w:t xml:space="preserve">  T</w:t>
      </w:r>
      <w:r w:rsidR="00DF616F" w:rsidRPr="006D0098">
        <w:rPr>
          <w:sz w:val="24"/>
          <w:szCs w:val="24"/>
        </w:rPr>
        <w:t xml:space="preserve">he Company estimates a </w:t>
      </w:r>
      <w:r w:rsidR="00B450DA" w:rsidRPr="00B450DA">
        <w:rPr>
          <w:sz w:val="24"/>
          <w:szCs w:val="24"/>
          <w:highlight w:val="black"/>
        </w:rPr>
        <w:t>xxxxxx</w:t>
      </w:r>
      <w:r w:rsidR="00B30F53" w:rsidRPr="006D0098">
        <w:rPr>
          <w:sz w:val="24"/>
          <w:szCs w:val="24"/>
        </w:rPr>
        <w:t xml:space="preserve"> useful life </w:t>
      </w:r>
      <w:r w:rsidR="00DF616F">
        <w:rPr>
          <w:sz w:val="24"/>
          <w:szCs w:val="24"/>
        </w:rPr>
        <w:t>for</w:t>
      </w:r>
      <w:r w:rsidR="00B30F53">
        <w:rPr>
          <w:sz w:val="24"/>
          <w:szCs w:val="24"/>
        </w:rPr>
        <w:t xml:space="preserve"> an LED installation</w:t>
      </w:r>
      <w:r w:rsidR="00B30F53" w:rsidRPr="002640AC">
        <w:rPr>
          <w:sz w:val="24"/>
          <w:szCs w:val="24"/>
        </w:rPr>
        <w:t>.</w:t>
      </w:r>
      <w:r w:rsidR="002640AC">
        <w:rPr>
          <w:rStyle w:val="FootnoteReference"/>
          <w:sz w:val="24"/>
          <w:szCs w:val="24"/>
        </w:rPr>
        <w:footnoteReference w:id="127"/>
      </w:r>
      <w:r w:rsidR="00B30F53">
        <w:rPr>
          <w:sz w:val="24"/>
          <w:szCs w:val="24"/>
        </w:rPr>
        <w:t xml:space="preserve">  However, the estimate is </w:t>
      </w:r>
      <w:r w:rsidR="00B30F53" w:rsidRPr="006D0098">
        <w:rPr>
          <w:sz w:val="24"/>
          <w:szCs w:val="24"/>
        </w:rPr>
        <w:t xml:space="preserve">shown with a </w:t>
      </w:r>
      <w:r w:rsidR="00B450DA" w:rsidRPr="00B450DA">
        <w:rPr>
          <w:sz w:val="24"/>
          <w:szCs w:val="24"/>
          <w:highlight w:val="black"/>
        </w:rPr>
        <w:t>xxxxx</w:t>
      </w:r>
      <w:r w:rsidR="00B450DA">
        <w:rPr>
          <w:sz w:val="24"/>
          <w:szCs w:val="24"/>
        </w:rPr>
        <w:t xml:space="preserve"> </w:t>
      </w:r>
      <w:r w:rsidR="00B30F53" w:rsidRPr="006D0098">
        <w:rPr>
          <w:sz w:val="24"/>
          <w:szCs w:val="24"/>
        </w:rPr>
        <w:t xml:space="preserve">standard </w:t>
      </w:r>
      <w:r w:rsidR="00B30F53">
        <w:rPr>
          <w:sz w:val="24"/>
          <w:szCs w:val="24"/>
        </w:rPr>
        <w:t>deviation.</w:t>
      </w:r>
      <w:r w:rsidR="002640AC">
        <w:rPr>
          <w:rStyle w:val="FootnoteReference"/>
          <w:sz w:val="24"/>
          <w:szCs w:val="24"/>
        </w:rPr>
        <w:footnoteReference w:id="128"/>
      </w:r>
    </w:p>
    <w:p w:rsidR="00B30F53" w:rsidRPr="00AB3803" w:rsidRDefault="00B30F53" w:rsidP="00130503">
      <w:pPr>
        <w:spacing w:line="480" w:lineRule="auto"/>
        <w:ind w:left="720" w:hanging="720"/>
        <w:jc w:val="both"/>
        <w:rPr>
          <w:b/>
          <w:sz w:val="24"/>
          <w:szCs w:val="24"/>
        </w:rPr>
      </w:pPr>
      <w:r w:rsidRPr="00AB3803">
        <w:rPr>
          <w:b/>
          <w:sz w:val="24"/>
          <w:szCs w:val="24"/>
        </w:rPr>
        <w:t>Q.</w:t>
      </w:r>
      <w:r w:rsidRPr="00AB3803">
        <w:rPr>
          <w:b/>
          <w:sz w:val="24"/>
          <w:szCs w:val="24"/>
        </w:rPr>
        <w:tab/>
        <w:t>What is a standard deviation?</w:t>
      </w:r>
    </w:p>
    <w:p w:rsidR="00B30F53" w:rsidRPr="006D0098" w:rsidRDefault="00B30F53" w:rsidP="00130503">
      <w:pPr>
        <w:spacing w:line="480" w:lineRule="auto"/>
        <w:ind w:left="720" w:hanging="720"/>
        <w:jc w:val="both"/>
        <w:rPr>
          <w:sz w:val="24"/>
          <w:szCs w:val="24"/>
        </w:rPr>
      </w:pPr>
      <w:r>
        <w:rPr>
          <w:sz w:val="24"/>
          <w:szCs w:val="24"/>
        </w:rPr>
        <w:t>A.</w:t>
      </w:r>
      <w:r>
        <w:rPr>
          <w:sz w:val="24"/>
          <w:szCs w:val="24"/>
        </w:rPr>
        <w:tab/>
        <w:t xml:space="preserve">In statistics, “standard deviation” is a measure of the degree of variation in an estimate or dispersion around that estimate.  It expresses the extent to which an actual observation is </w:t>
      </w:r>
      <w:r w:rsidRPr="006D0098">
        <w:rPr>
          <w:sz w:val="24"/>
          <w:szCs w:val="24"/>
        </w:rPr>
        <w:t>likely to de</w:t>
      </w:r>
      <w:r w:rsidR="000C1645" w:rsidRPr="006D0098">
        <w:rPr>
          <w:sz w:val="24"/>
          <w:szCs w:val="24"/>
        </w:rPr>
        <w:t>viate from its estimated</w:t>
      </w:r>
      <w:r w:rsidRPr="006D0098">
        <w:rPr>
          <w:sz w:val="24"/>
          <w:szCs w:val="24"/>
        </w:rPr>
        <w:t xml:space="preserve"> or expected value.  </w:t>
      </w:r>
      <w:r w:rsidR="00AB3803" w:rsidRPr="006D0098">
        <w:rPr>
          <w:sz w:val="24"/>
          <w:szCs w:val="24"/>
        </w:rPr>
        <w:t>An estimate with a high standard deviation is uncertain.</w:t>
      </w:r>
      <w:r w:rsidR="0050362D" w:rsidRPr="006D0098">
        <w:rPr>
          <w:sz w:val="24"/>
          <w:szCs w:val="24"/>
        </w:rPr>
        <w:t xml:space="preserve">  In </w:t>
      </w:r>
      <w:r w:rsidR="00C8262C" w:rsidRPr="006D0098">
        <w:rPr>
          <w:sz w:val="24"/>
          <w:szCs w:val="24"/>
        </w:rPr>
        <w:t>CEHE</w:t>
      </w:r>
      <w:r w:rsidR="0050362D" w:rsidRPr="006D0098">
        <w:rPr>
          <w:sz w:val="24"/>
          <w:szCs w:val="24"/>
        </w:rPr>
        <w:t xml:space="preserve">’s analysis, the </w:t>
      </w:r>
      <w:r w:rsidR="0050362D" w:rsidRPr="006D0098">
        <w:rPr>
          <w:sz w:val="24"/>
          <w:szCs w:val="24"/>
        </w:rPr>
        <w:lastRenderedPageBreak/>
        <w:t xml:space="preserve">standard deviation around its estimated useful life of </w:t>
      </w:r>
      <w:r w:rsidR="00B450DA" w:rsidRPr="00B450DA">
        <w:rPr>
          <w:sz w:val="24"/>
          <w:szCs w:val="24"/>
          <w:highlight w:val="black"/>
        </w:rPr>
        <w:t>xxxxxx</w:t>
      </w:r>
      <w:r w:rsidR="00B450DA">
        <w:rPr>
          <w:sz w:val="24"/>
          <w:szCs w:val="24"/>
        </w:rPr>
        <w:t xml:space="preserve"> </w:t>
      </w:r>
      <w:r w:rsidR="0050362D" w:rsidRPr="006D0098">
        <w:rPr>
          <w:sz w:val="24"/>
          <w:szCs w:val="24"/>
        </w:rPr>
        <w:t xml:space="preserve">represents </w:t>
      </w:r>
      <w:r w:rsidR="00B450DA" w:rsidRPr="00B450DA">
        <w:rPr>
          <w:sz w:val="24"/>
          <w:szCs w:val="24"/>
          <w:highlight w:val="black"/>
        </w:rPr>
        <w:t>xxxxxxx</w:t>
      </w:r>
      <w:r w:rsidR="00B450DA">
        <w:rPr>
          <w:sz w:val="24"/>
          <w:szCs w:val="24"/>
        </w:rPr>
        <w:t xml:space="preserve"> </w:t>
      </w:r>
      <w:r w:rsidR="0050362D" w:rsidRPr="006D0098">
        <w:rPr>
          <w:sz w:val="24"/>
          <w:szCs w:val="24"/>
        </w:rPr>
        <w:t xml:space="preserve">of the estimate, which means that the </w:t>
      </w:r>
      <w:r w:rsidR="000C1645" w:rsidRPr="006D0098">
        <w:rPr>
          <w:sz w:val="24"/>
          <w:szCs w:val="24"/>
        </w:rPr>
        <w:t xml:space="preserve">estimated useful life </w:t>
      </w:r>
      <w:r w:rsidR="00A82256" w:rsidRPr="006D0098">
        <w:rPr>
          <w:sz w:val="24"/>
          <w:szCs w:val="24"/>
        </w:rPr>
        <w:t xml:space="preserve">of an LED installation </w:t>
      </w:r>
      <w:r w:rsidR="000C1645" w:rsidRPr="006D0098">
        <w:rPr>
          <w:sz w:val="24"/>
          <w:szCs w:val="24"/>
        </w:rPr>
        <w:t xml:space="preserve">is </w:t>
      </w:r>
      <w:r w:rsidR="0050362D" w:rsidRPr="006D0098">
        <w:rPr>
          <w:sz w:val="24"/>
          <w:szCs w:val="24"/>
        </w:rPr>
        <w:t>uncertain.</w:t>
      </w:r>
    </w:p>
    <w:p w:rsidR="0050362D" w:rsidRPr="006D0098" w:rsidRDefault="0050362D" w:rsidP="00130503">
      <w:pPr>
        <w:spacing w:line="480" w:lineRule="auto"/>
        <w:ind w:left="720" w:hanging="720"/>
        <w:jc w:val="both"/>
        <w:rPr>
          <w:b/>
          <w:sz w:val="24"/>
          <w:szCs w:val="24"/>
        </w:rPr>
      </w:pPr>
      <w:r w:rsidRPr="006D0098">
        <w:rPr>
          <w:b/>
          <w:sz w:val="24"/>
          <w:szCs w:val="24"/>
        </w:rPr>
        <w:t>Q.</w:t>
      </w:r>
      <w:r w:rsidRPr="006D0098">
        <w:rPr>
          <w:b/>
          <w:sz w:val="24"/>
          <w:szCs w:val="24"/>
        </w:rPr>
        <w:tab/>
        <w:t xml:space="preserve">Based on </w:t>
      </w:r>
      <w:r w:rsidR="00C8262C" w:rsidRPr="006D0098">
        <w:rPr>
          <w:b/>
          <w:sz w:val="24"/>
          <w:szCs w:val="24"/>
        </w:rPr>
        <w:t>CEHE</w:t>
      </w:r>
      <w:r w:rsidRPr="006D0098">
        <w:rPr>
          <w:b/>
          <w:sz w:val="24"/>
          <w:szCs w:val="24"/>
        </w:rPr>
        <w:t xml:space="preserve">’s analysis </w:t>
      </w:r>
      <w:r w:rsidR="00DF616F" w:rsidRPr="006D0098">
        <w:rPr>
          <w:b/>
          <w:sz w:val="24"/>
          <w:szCs w:val="24"/>
        </w:rPr>
        <w:t xml:space="preserve">with a </w:t>
      </w:r>
      <w:r w:rsidR="00B450DA" w:rsidRPr="00B450DA">
        <w:rPr>
          <w:b/>
          <w:sz w:val="24"/>
          <w:szCs w:val="24"/>
          <w:highlight w:val="black"/>
        </w:rPr>
        <w:t>XXxxx</w:t>
      </w:r>
      <w:r w:rsidR="00DF616F" w:rsidRPr="006D0098">
        <w:rPr>
          <w:b/>
          <w:sz w:val="24"/>
          <w:szCs w:val="24"/>
        </w:rPr>
        <w:t xml:space="preserve"> useful life</w:t>
      </w:r>
      <w:r w:rsidRPr="006D0098">
        <w:rPr>
          <w:b/>
          <w:sz w:val="24"/>
          <w:szCs w:val="24"/>
        </w:rPr>
        <w:t xml:space="preserve"> </w:t>
      </w:r>
      <w:r w:rsidR="0035330C" w:rsidRPr="006D0098">
        <w:rPr>
          <w:b/>
          <w:sz w:val="24"/>
          <w:szCs w:val="24"/>
        </w:rPr>
        <w:t>at</w:t>
      </w:r>
      <w:r w:rsidRPr="006D0098">
        <w:rPr>
          <w:b/>
          <w:sz w:val="24"/>
          <w:szCs w:val="24"/>
        </w:rPr>
        <w:t xml:space="preserve"> </w:t>
      </w:r>
      <w:r w:rsidR="00B450DA" w:rsidRPr="00B450DA">
        <w:rPr>
          <w:b/>
          <w:sz w:val="24"/>
          <w:szCs w:val="24"/>
          <w:highlight w:val="black"/>
        </w:rPr>
        <w:t>xxxxx</w:t>
      </w:r>
      <w:r w:rsidR="0035330C" w:rsidRPr="006D0098">
        <w:rPr>
          <w:b/>
          <w:sz w:val="24"/>
          <w:szCs w:val="24"/>
        </w:rPr>
        <w:t xml:space="preserve"> </w:t>
      </w:r>
      <w:r w:rsidRPr="006D0098">
        <w:rPr>
          <w:b/>
          <w:sz w:val="24"/>
          <w:szCs w:val="24"/>
        </w:rPr>
        <w:t xml:space="preserve">standard deviation, what is the likelihood that an LED lighting installation will fail before year </w:t>
      </w:r>
      <w:r w:rsidR="00B450DA" w:rsidRPr="00B450DA">
        <w:rPr>
          <w:b/>
          <w:sz w:val="24"/>
          <w:szCs w:val="24"/>
          <w:highlight w:val="black"/>
        </w:rPr>
        <w:t>xxx</w:t>
      </w:r>
      <w:r w:rsidRPr="006D0098">
        <w:rPr>
          <w:b/>
          <w:sz w:val="24"/>
          <w:szCs w:val="24"/>
        </w:rPr>
        <w:t xml:space="preserve"> (the payback </w:t>
      </w:r>
      <w:r w:rsidR="001A657D" w:rsidRPr="006D0098">
        <w:rPr>
          <w:b/>
          <w:sz w:val="24"/>
          <w:szCs w:val="24"/>
        </w:rPr>
        <w:t xml:space="preserve">period </w:t>
      </w:r>
      <w:r w:rsidRPr="006D0098">
        <w:rPr>
          <w:b/>
          <w:sz w:val="24"/>
          <w:szCs w:val="24"/>
        </w:rPr>
        <w:t>hurdle), and never yield any financial benefits</w:t>
      </w:r>
      <w:r w:rsidR="0097140B" w:rsidRPr="006D0098">
        <w:rPr>
          <w:b/>
          <w:sz w:val="24"/>
          <w:szCs w:val="24"/>
        </w:rPr>
        <w:t xml:space="preserve"> over any time horizon</w:t>
      </w:r>
      <w:r w:rsidRPr="006D0098">
        <w:rPr>
          <w:b/>
          <w:sz w:val="24"/>
          <w:szCs w:val="24"/>
        </w:rPr>
        <w:t>?</w:t>
      </w:r>
    </w:p>
    <w:p w:rsidR="0050362D" w:rsidRPr="006D0098" w:rsidRDefault="0050362D" w:rsidP="00130503">
      <w:pPr>
        <w:spacing w:line="480" w:lineRule="auto"/>
        <w:ind w:left="720" w:hanging="720"/>
        <w:jc w:val="both"/>
        <w:rPr>
          <w:sz w:val="24"/>
          <w:szCs w:val="24"/>
        </w:rPr>
      </w:pPr>
      <w:r>
        <w:rPr>
          <w:sz w:val="24"/>
          <w:szCs w:val="24"/>
        </w:rPr>
        <w:t>A.</w:t>
      </w:r>
      <w:r>
        <w:rPr>
          <w:sz w:val="24"/>
          <w:szCs w:val="24"/>
        </w:rPr>
        <w:tab/>
      </w:r>
      <w:r w:rsidR="00D22C51">
        <w:rPr>
          <w:sz w:val="24"/>
          <w:szCs w:val="24"/>
        </w:rPr>
        <w:t>Based on CEHE’</w:t>
      </w:r>
      <w:r w:rsidR="005928B7">
        <w:rPr>
          <w:sz w:val="24"/>
          <w:szCs w:val="24"/>
        </w:rPr>
        <w:t>s own analysi</w:t>
      </w:r>
      <w:r w:rsidR="00D22C51">
        <w:rPr>
          <w:sz w:val="24"/>
          <w:szCs w:val="24"/>
        </w:rPr>
        <w:t xml:space="preserve">s, the likelihood that an LED lighting installation will fail before </w:t>
      </w:r>
      <w:r w:rsidR="009F2605">
        <w:rPr>
          <w:sz w:val="24"/>
          <w:szCs w:val="24"/>
        </w:rPr>
        <w:t xml:space="preserve">crossing </w:t>
      </w:r>
      <w:r w:rsidR="00D22C51">
        <w:rPr>
          <w:sz w:val="24"/>
          <w:szCs w:val="24"/>
        </w:rPr>
        <w:t xml:space="preserve">the payback period </w:t>
      </w:r>
      <w:r w:rsidR="00D22C51" w:rsidRPr="006D0098">
        <w:rPr>
          <w:sz w:val="24"/>
          <w:szCs w:val="24"/>
        </w:rPr>
        <w:t xml:space="preserve">hurdle is </w:t>
      </w:r>
      <w:r w:rsidR="00B450DA" w:rsidRPr="00B450DA">
        <w:rPr>
          <w:sz w:val="24"/>
          <w:szCs w:val="24"/>
          <w:highlight w:val="black"/>
        </w:rPr>
        <w:t>XXXX</w:t>
      </w:r>
      <w:r w:rsidR="00EC48ED" w:rsidRPr="006D0098">
        <w:rPr>
          <w:sz w:val="24"/>
          <w:szCs w:val="24"/>
        </w:rPr>
        <w:t>.</w:t>
      </w:r>
      <w:r w:rsidR="00152BF9" w:rsidRPr="006D0098">
        <w:rPr>
          <w:rStyle w:val="FootnoteReference"/>
          <w:sz w:val="24"/>
          <w:szCs w:val="24"/>
        </w:rPr>
        <w:footnoteReference w:id="129"/>
      </w:r>
    </w:p>
    <w:p w:rsidR="00C02D71" w:rsidRDefault="00C02D71" w:rsidP="00C02D71">
      <w:pPr>
        <w:suppressLineNumbers/>
        <w:spacing w:line="480" w:lineRule="auto"/>
        <w:ind w:left="720" w:hanging="720"/>
        <w:jc w:val="both"/>
        <w:rPr>
          <w:b/>
          <w:sz w:val="24"/>
          <w:szCs w:val="24"/>
        </w:rPr>
      </w:pPr>
    </w:p>
    <w:p w:rsidR="00C02D71" w:rsidRDefault="00C02D71" w:rsidP="00C02D71">
      <w:pPr>
        <w:suppressLineNumbers/>
        <w:spacing w:line="480" w:lineRule="auto"/>
        <w:ind w:left="720" w:hanging="720"/>
        <w:jc w:val="both"/>
        <w:rPr>
          <w:b/>
          <w:sz w:val="24"/>
          <w:szCs w:val="24"/>
        </w:rPr>
      </w:pPr>
    </w:p>
    <w:p w:rsidR="00503115" w:rsidRPr="00F81068" w:rsidRDefault="00F81068" w:rsidP="00F81068">
      <w:pPr>
        <w:spacing w:line="480" w:lineRule="auto"/>
        <w:ind w:left="720" w:hanging="720"/>
        <w:jc w:val="both"/>
        <w:rPr>
          <w:b/>
          <w:sz w:val="24"/>
          <w:szCs w:val="24"/>
        </w:rPr>
      </w:pPr>
      <w:r w:rsidRPr="00F81068">
        <w:rPr>
          <w:b/>
          <w:sz w:val="24"/>
          <w:szCs w:val="24"/>
        </w:rPr>
        <w:t>Q.</w:t>
      </w:r>
      <w:r w:rsidRPr="00F81068">
        <w:rPr>
          <w:b/>
          <w:sz w:val="24"/>
          <w:szCs w:val="24"/>
        </w:rPr>
        <w:tab/>
        <w:t>Based on your review of the financial performance of the LED lighting proposal, what do you conclude?</w:t>
      </w:r>
    </w:p>
    <w:p w:rsidR="00F81068" w:rsidRDefault="00F81068" w:rsidP="00130503">
      <w:pPr>
        <w:spacing w:line="480" w:lineRule="auto"/>
        <w:ind w:left="720" w:hanging="720"/>
        <w:jc w:val="both"/>
        <w:rPr>
          <w:sz w:val="24"/>
          <w:szCs w:val="24"/>
        </w:rPr>
      </w:pPr>
      <w:r>
        <w:rPr>
          <w:sz w:val="24"/>
          <w:szCs w:val="24"/>
        </w:rPr>
        <w:t>A.</w:t>
      </w:r>
      <w:r>
        <w:rPr>
          <w:sz w:val="24"/>
          <w:szCs w:val="24"/>
        </w:rPr>
        <w:tab/>
        <w:t>From a financial standpoint, the proposal is highly undesirable and should be rejected.</w:t>
      </w:r>
    </w:p>
    <w:p w:rsidR="00F81068" w:rsidRDefault="005E76B3" w:rsidP="00130503">
      <w:pPr>
        <w:spacing w:line="480" w:lineRule="auto"/>
        <w:ind w:left="720" w:hanging="720"/>
        <w:jc w:val="both"/>
        <w:rPr>
          <w:b/>
          <w:sz w:val="24"/>
          <w:szCs w:val="24"/>
        </w:rPr>
      </w:pPr>
      <w:r w:rsidRPr="005E76B3">
        <w:rPr>
          <w:b/>
          <w:sz w:val="24"/>
          <w:szCs w:val="24"/>
        </w:rPr>
        <w:t>Q.</w:t>
      </w:r>
      <w:r w:rsidRPr="005E76B3">
        <w:rPr>
          <w:b/>
          <w:sz w:val="24"/>
          <w:szCs w:val="24"/>
        </w:rPr>
        <w:tab/>
      </w:r>
      <w:r w:rsidR="0035330C">
        <w:rPr>
          <w:b/>
          <w:sz w:val="24"/>
          <w:szCs w:val="24"/>
        </w:rPr>
        <w:t>D</w:t>
      </w:r>
      <w:r w:rsidRPr="005E76B3">
        <w:rPr>
          <w:b/>
          <w:sz w:val="24"/>
          <w:szCs w:val="24"/>
        </w:rPr>
        <w:t>o you have any concerns about the program</w:t>
      </w:r>
      <w:r w:rsidR="0035330C">
        <w:rPr>
          <w:b/>
          <w:sz w:val="24"/>
          <w:szCs w:val="24"/>
        </w:rPr>
        <w:t xml:space="preserve"> from a regulatory standpoint</w:t>
      </w:r>
      <w:r w:rsidRPr="005E76B3">
        <w:rPr>
          <w:b/>
          <w:sz w:val="24"/>
          <w:szCs w:val="24"/>
        </w:rPr>
        <w:t>?</w:t>
      </w:r>
    </w:p>
    <w:p w:rsidR="005E76B3" w:rsidRDefault="005E76B3" w:rsidP="00130503">
      <w:pPr>
        <w:spacing w:line="480" w:lineRule="auto"/>
        <w:ind w:left="720" w:hanging="720"/>
        <w:jc w:val="both"/>
        <w:rPr>
          <w:sz w:val="24"/>
          <w:szCs w:val="24"/>
        </w:rPr>
      </w:pPr>
      <w:r w:rsidRPr="005E76B3">
        <w:rPr>
          <w:sz w:val="24"/>
          <w:szCs w:val="24"/>
        </w:rPr>
        <w:t>A.</w:t>
      </w:r>
      <w:r w:rsidRPr="005E76B3">
        <w:rPr>
          <w:sz w:val="24"/>
          <w:szCs w:val="24"/>
        </w:rPr>
        <w:tab/>
      </w:r>
      <w:r>
        <w:rPr>
          <w:sz w:val="24"/>
          <w:szCs w:val="24"/>
        </w:rPr>
        <w:t xml:space="preserve">Yes.  I am concerned that by eliminating customer choice the proposal puts the Commission in the position of supplanting each </w:t>
      </w:r>
      <w:r>
        <w:rPr>
          <w:sz w:val="24"/>
          <w:szCs w:val="24"/>
        </w:rPr>
        <w:lastRenderedPageBreak/>
        <w:t xml:space="preserve">municipality’s </w:t>
      </w:r>
      <w:r w:rsidR="000C1645">
        <w:rPr>
          <w:sz w:val="24"/>
          <w:szCs w:val="24"/>
        </w:rPr>
        <w:t>jurisdiction over</w:t>
      </w:r>
      <w:r>
        <w:rPr>
          <w:sz w:val="24"/>
          <w:szCs w:val="24"/>
        </w:rPr>
        <w:t xml:space="preserve"> what type of lighting is appropriate for its community given its preferences and budget constraints.  If the Commission approves the Company’s request, the Commission will have made the lighting decision for all 160 communities in </w:t>
      </w:r>
      <w:r w:rsidR="00C8262C">
        <w:rPr>
          <w:sz w:val="24"/>
          <w:szCs w:val="24"/>
        </w:rPr>
        <w:t>CEHE</w:t>
      </w:r>
      <w:r>
        <w:rPr>
          <w:sz w:val="24"/>
          <w:szCs w:val="24"/>
        </w:rPr>
        <w:t>’s service territory.</w:t>
      </w:r>
      <w:r w:rsidR="00B0657A">
        <w:rPr>
          <w:sz w:val="24"/>
          <w:szCs w:val="24"/>
        </w:rPr>
        <w:t xml:space="preserve">  Such transfers of jurisdiction are best considered within the context </w:t>
      </w:r>
      <w:r w:rsidR="00DD30C0">
        <w:rPr>
          <w:sz w:val="24"/>
          <w:szCs w:val="24"/>
        </w:rPr>
        <w:t>of a rulemaking project, in which</w:t>
      </w:r>
      <w:r w:rsidR="00B0657A">
        <w:rPr>
          <w:sz w:val="24"/>
          <w:szCs w:val="24"/>
        </w:rPr>
        <w:t xml:space="preserve"> each community may have a chance to be heard.</w:t>
      </w:r>
    </w:p>
    <w:p w:rsidR="00AA130E" w:rsidRPr="002D5FB3" w:rsidRDefault="002D5FB3" w:rsidP="00130503">
      <w:pPr>
        <w:spacing w:line="480" w:lineRule="auto"/>
        <w:ind w:left="720" w:hanging="720"/>
        <w:jc w:val="both"/>
        <w:rPr>
          <w:b/>
          <w:sz w:val="24"/>
          <w:szCs w:val="24"/>
        </w:rPr>
      </w:pPr>
      <w:r w:rsidRPr="002D5FB3">
        <w:rPr>
          <w:b/>
          <w:sz w:val="24"/>
          <w:szCs w:val="24"/>
        </w:rPr>
        <w:t>Q.</w:t>
      </w:r>
      <w:r w:rsidRPr="002D5FB3">
        <w:rPr>
          <w:b/>
          <w:sz w:val="24"/>
          <w:szCs w:val="24"/>
        </w:rPr>
        <w:tab/>
        <w:t>Is there a logical flaw in the Company’s proposal?</w:t>
      </w:r>
    </w:p>
    <w:p w:rsidR="00F512D9" w:rsidRDefault="002D5FB3" w:rsidP="00130503">
      <w:pPr>
        <w:spacing w:line="480" w:lineRule="auto"/>
        <w:ind w:left="720" w:hanging="720"/>
        <w:jc w:val="both"/>
        <w:rPr>
          <w:sz w:val="24"/>
          <w:szCs w:val="24"/>
        </w:rPr>
      </w:pPr>
      <w:r>
        <w:rPr>
          <w:sz w:val="24"/>
          <w:szCs w:val="24"/>
        </w:rPr>
        <w:t>A.</w:t>
      </w:r>
      <w:r>
        <w:rPr>
          <w:sz w:val="24"/>
          <w:szCs w:val="24"/>
        </w:rPr>
        <w:tab/>
        <w:t xml:space="preserve">Yes.  The Company has presented evidence that </w:t>
      </w:r>
      <w:r w:rsidR="00D9683C">
        <w:rPr>
          <w:sz w:val="24"/>
          <w:szCs w:val="24"/>
        </w:rPr>
        <w:t>the</w:t>
      </w:r>
      <w:r>
        <w:rPr>
          <w:sz w:val="24"/>
          <w:szCs w:val="24"/>
        </w:rPr>
        <w:t xml:space="preserve"> switch from non-LED to LED lighting </w:t>
      </w:r>
      <w:r w:rsidR="0014393F">
        <w:rPr>
          <w:sz w:val="24"/>
          <w:szCs w:val="24"/>
        </w:rPr>
        <w:t>c</w:t>
      </w:r>
      <w:r w:rsidR="00D9683C">
        <w:rPr>
          <w:sz w:val="24"/>
          <w:szCs w:val="24"/>
        </w:rPr>
        <w:t>ould be highly</w:t>
      </w:r>
      <w:r>
        <w:rPr>
          <w:sz w:val="24"/>
          <w:szCs w:val="24"/>
        </w:rPr>
        <w:t xml:space="preserve"> benefi</w:t>
      </w:r>
      <w:r w:rsidR="00D9683C">
        <w:rPr>
          <w:sz w:val="24"/>
          <w:szCs w:val="24"/>
        </w:rPr>
        <w:t>cial</w:t>
      </w:r>
      <w:r w:rsidR="00531984">
        <w:rPr>
          <w:sz w:val="24"/>
          <w:szCs w:val="24"/>
        </w:rPr>
        <w:t xml:space="preserve"> for customers</w:t>
      </w:r>
      <w:r>
        <w:rPr>
          <w:sz w:val="24"/>
          <w:szCs w:val="24"/>
        </w:rPr>
        <w:t>.</w:t>
      </w:r>
      <w:r w:rsidR="00747B9B">
        <w:rPr>
          <w:sz w:val="24"/>
          <w:szCs w:val="24"/>
        </w:rPr>
        <w:t xml:space="preserve">  </w:t>
      </w:r>
      <w:r>
        <w:rPr>
          <w:sz w:val="24"/>
          <w:szCs w:val="24"/>
        </w:rPr>
        <w:t xml:space="preserve">If this </w:t>
      </w:r>
      <w:r w:rsidR="00531984">
        <w:rPr>
          <w:sz w:val="24"/>
          <w:szCs w:val="24"/>
        </w:rPr>
        <w:t>were</w:t>
      </w:r>
      <w:r>
        <w:rPr>
          <w:sz w:val="24"/>
          <w:szCs w:val="24"/>
        </w:rPr>
        <w:t xml:space="preserve"> true, there would be no need to mandate the switch.  Customers would freely choose it</w:t>
      </w:r>
      <w:r w:rsidR="00F512D9">
        <w:rPr>
          <w:sz w:val="24"/>
          <w:szCs w:val="24"/>
        </w:rPr>
        <w:t xml:space="preserve">, and </w:t>
      </w:r>
      <w:r w:rsidR="00A82256">
        <w:rPr>
          <w:sz w:val="24"/>
          <w:szCs w:val="24"/>
        </w:rPr>
        <w:t xml:space="preserve">under that scenario </w:t>
      </w:r>
      <w:r w:rsidR="00F3746B">
        <w:rPr>
          <w:sz w:val="24"/>
          <w:szCs w:val="24"/>
        </w:rPr>
        <w:t>the</w:t>
      </w:r>
      <w:r w:rsidR="00F512D9">
        <w:rPr>
          <w:sz w:val="24"/>
          <w:szCs w:val="24"/>
        </w:rPr>
        <w:t xml:space="preserve"> Company would experience the same financial benefits as it would under a mandate</w:t>
      </w:r>
      <w:r w:rsidR="00531984">
        <w:rPr>
          <w:sz w:val="24"/>
          <w:szCs w:val="24"/>
        </w:rPr>
        <w:t>.</w:t>
      </w:r>
    </w:p>
    <w:p w:rsidR="00543B5B" w:rsidRPr="00213E54" w:rsidRDefault="00B02B6D" w:rsidP="00543B5B">
      <w:pPr>
        <w:spacing w:line="480" w:lineRule="auto"/>
        <w:jc w:val="both"/>
        <w:rPr>
          <w:b/>
          <w:sz w:val="24"/>
          <w:szCs w:val="24"/>
        </w:rPr>
      </w:pPr>
      <w:r w:rsidRPr="00213E54">
        <w:rPr>
          <w:b/>
          <w:sz w:val="24"/>
          <w:szCs w:val="24"/>
        </w:rPr>
        <w:t>Q.</w:t>
      </w:r>
      <w:r w:rsidRPr="00213E54">
        <w:rPr>
          <w:b/>
          <w:sz w:val="24"/>
          <w:szCs w:val="24"/>
        </w:rPr>
        <w:tab/>
        <w:t>What is your recommendation?</w:t>
      </w:r>
    </w:p>
    <w:p w:rsidR="000121D2" w:rsidRDefault="00B02B6D" w:rsidP="008C5D86">
      <w:pPr>
        <w:spacing w:line="480" w:lineRule="auto"/>
        <w:ind w:left="720" w:hanging="720"/>
        <w:jc w:val="both"/>
        <w:rPr>
          <w:sz w:val="24"/>
          <w:szCs w:val="24"/>
        </w:rPr>
      </w:pPr>
      <w:r>
        <w:rPr>
          <w:sz w:val="24"/>
          <w:szCs w:val="24"/>
        </w:rPr>
        <w:t>A.</w:t>
      </w:r>
      <w:r>
        <w:rPr>
          <w:sz w:val="24"/>
          <w:szCs w:val="24"/>
        </w:rPr>
        <w:tab/>
        <w:t>I recommend r</w:t>
      </w:r>
      <w:r w:rsidRPr="00B02B6D">
        <w:rPr>
          <w:sz w:val="24"/>
          <w:szCs w:val="24"/>
        </w:rPr>
        <w:t>eject</w:t>
      </w:r>
      <w:r>
        <w:rPr>
          <w:sz w:val="24"/>
          <w:szCs w:val="24"/>
        </w:rPr>
        <w:t>ion of the Company’s</w:t>
      </w:r>
      <w:r w:rsidRPr="00B02B6D">
        <w:rPr>
          <w:sz w:val="24"/>
          <w:szCs w:val="24"/>
        </w:rPr>
        <w:t xml:space="preserve"> proposal to </w:t>
      </w:r>
      <w:r w:rsidR="006C76F0">
        <w:rPr>
          <w:sz w:val="24"/>
          <w:szCs w:val="24"/>
        </w:rPr>
        <w:t>eliminate customer choice with respect to</w:t>
      </w:r>
      <w:r>
        <w:rPr>
          <w:sz w:val="24"/>
          <w:szCs w:val="24"/>
        </w:rPr>
        <w:t xml:space="preserve"> LED or non-LED lighting installation</w:t>
      </w:r>
      <w:r w:rsidRPr="00B02B6D">
        <w:rPr>
          <w:sz w:val="24"/>
          <w:szCs w:val="24"/>
        </w:rPr>
        <w:t xml:space="preserve">.  </w:t>
      </w:r>
      <w:r w:rsidR="00213E54">
        <w:rPr>
          <w:sz w:val="24"/>
          <w:szCs w:val="24"/>
        </w:rPr>
        <w:t>I r</w:t>
      </w:r>
      <w:r w:rsidRPr="00B02B6D">
        <w:rPr>
          <w:sz w:val="24"/>
          <w:szCs w:val="24"/>
        </w:rPr>
        <w:t xml:space="preserve">ecommend </w:t>
      </w:r>
      <w:r w:rsidR="00CF0750">
        <w:rPr>
          <w:sz w:val="24"/>
          <w:szCs w:val="24"/>
        </w:rPr>
        <w:t xml:space="preserve">no revisions to </w:t>
      </w:r>
      <w:r w:rsidR="00213E54">
        <w:rPr>
          <w:sz w:val="24"/>
          <w:szCs w:val="24"/>
        </w:rPr>
        <w:t xml:space="preserve">the </w:t>
      </w:r>
      <w:r w:rsidR="00CF0750">
        <w:rPr>
          <w:sz w:val="24"/>
          <w:szCs w:val="24"/>
        </w:rPr>
        <w:t xml:space="preserve">provisions under </w:t>
      </w:r>
      <w:r w:rsidR="00C8262C">
        <w:rPr>
          <w:sz w:val="24"/>
          <w:szCs w:val="24"/>
        </w:rPr>
        <w:t>CEHE</w:t>
      </w:r>
      <w:r w:rsidR="00213E54">
        <w:rPr>
          <w:sz w:val="24"/>
          <w:szCs w:val="24"/>
        </w:rPr>
        <w:t>’s lighting tariff that govern the customer’s selection</w:t>
      </w:r>
      <w:r w:rsidR="00CF0750">
        <w:rPr>
          <w:sz w:val="24"/>
          <w:szCs w:val="24"/>
        </w:rPr>
        <w:t xml:space="preserve"> of lighting type.</w:t>
      </w:r>
      <w:r w:rsidR="008C5D86">
        <w:rPr>
          <w:sz w:val="24"/>
          <w:szCs w:val="24"/>
        </w:rPr>
        <w:t xml:space="preserve">  Customers who wish to choose LED options would still be able to do so without being forced to.</w:t>
      </w:r>
    </w:p>
    <w:p w:rsidR="007925E4" w:rsidRPr="00A37A6D" w:rsidRDefault="007925E4" w:rsidP="007925E4">
      <w:pPr>
        <w:pStyle w:val="Heading1"/>
        <w:numPr>
          <w:ilvl w:val="0"/>
          <w:numId w:val="1"/>
        </w:numPr>
        <w:spacing w:line="480" w:lineRule="auto"/>
        <w:jc w:val="both"/>
        <w:rPr>
          <w:sz w:val="24"/>
          <w:szCs w:val="24"/>
        </w:rPr>
      </w:pPr>
      <w:bookmarkStart w:id="28" w:name="_Toc11215216"/>
      <w:r>
        <w:rPr>
          <w:sz w:val="24"/>
        </w:rPr>
        <w:lastRenderedPageBreak/>
        <w:t>RATE RIDERS</w:t>
      </w:r>
      <w:r w:rsidR="008C20E6">
        <w:rPr>
          <w:sz w:val="24"/>
        </w:rPr>
        <w:t xml:space="preserve"> – FUNCTIONALIZATION OF RIDER UEDIT</w:t>
      </w:r>
      <w:bookmarkEnd w:id="28"/>
    </w:p>
    <w:p w:rsidR="007925E4" w:rsidRDefault="007925E4" w:rsidP="007925E4">
      <w:pPr>
        <w:spacing w:line="480" w:lineRule="auto"/>
        <w:ind w:left="720" w:hanging="720"/>
        <w:rPr>
          <w:b/>
          <w:sz w:val="24"/>
          <w:szCs w:val="24"/>
        </w:rPr>
      </w:pPr>
      <w:r w:rsidRPr="00A37A6D">
        <w:rPr>
          <w:b/>
          <w:sz w:val="24"/>
          <w:szCs w:val="24"/>
        </w:rPr>
        <w:t>Q.</w:t>
      </w:r>
      <w:r w:rsidRPr="00A37A6D">
        <w:rPr>
          <w:b/>
          <w:sz w:val="24"/>
          <w:szCs w:val="24"/>
        </w:rPr>
        <w:tab/>
      </w:r>
      <w:r w:rsidR="00F334D7">
        <w:rPr>
          <w:b/>
          <w:sz w:val="24"/>
          <w:szCs w:val="24"/>
        </w:rPr>
        <w:t>What is a rate rider</w:t>
      </w:r>
      <w:r>
        <w:rPr>
          <w:b/>
          <w:sz w:val="24"/>
          <w:szCs w:val="24"/>
        </w:rPr>
        <w:t>?</w:t>
      </w:r>
    </w:p>
    <w:p w:rsidR="007925E4" w:rsidRDefault="007925E4" w:rsidP="00F334D7">
      <w:pPr>
        <w:spacing w:line="480" w:lineRule="auto"/>
        <w:ind w:left="720" w:hanging="720"/>
        <w:jc w:val="both"/>
        <w:rPr>
          <w:sz w:val="24"/>
          <w:szCs w:val="24"/>
        </w:rPr>
      </w:pPr>
      <w:r>
        <w:rPr>
          <w:sz w:val="24"/>
          <w:szCs w:val="24"/>
        </w:rPr>
        <w:t>A.</w:t>
      </w:r>
      <w:r>
        <w:rPr>
          <w:sz w:val="24"/>
          <w:szCs w:val="24"/>
        </w:rPr>
        <w:tab/>
      </w:r>
      <w:r w:rsidR="00F334D7">
        <w:rPr>
          <w:sz w:val="24"/>
          <w:szCs w:val="24"/>
        </w:rPr>
        <w:t>A rider is</w:t>
      </w:r>
      <w:r w:rsidR="00A82256">
        <w:rPr>
          <w:sz w:val="24"/>
          <w:szCs w:val="24"/>
        </w:rPr>
        <w:t xml:space="preserve"> a cost recovery mechanism under which a utility </w:t>
      </w:r>
      <w:r w:rsidR="00F334D7">
        <w:rPr>
          <w:sz w:val="24"/>
          <w:szCs w:val="24"/>
        </w:rPr>
        <w:t xml:space="preserve">recovers a portion of </w:t>
      </w:r>
      <w:r w:rsidR="00A82256">
        <w:rPr>
          <w:sz w:val="24"/>
          <w:szCs w:val="24"/>
        </w:rPr>
        <w:t>its</w:t>
      </w:r>
      <w:r w:rsidR="00F334D7">
        <w:rPr>
          <w:sz w:val="24"/>
          <w:szCs w:val="24"/>
        </w:rPr>
        <w:t xml:space="preserve"> costs under a separate system of charges outside base rates.  A credit back to customers may also be</w:t>
      </w:r>
      <w:r w:rsidR="00A82256">
        <w:rPr>
          <w:sz w:val="24"/>
          <w:szCs w:val="24"/>
        </w:rPr>
        <w:t xml:space="preserve"> performed using a rate rider.</w:t>
      </w:r>
    </w:p>
    <w:p w:rsidR="00F334D7" w:rsidRPr="00F334D7" w:rsidRDefault="00F334D7" w:rsidP="007925E4">
      <w:pPr>
        <w:spacing w:line="480" w:lineRule="auto"/>
        <w:ind w:left="720" w:hanging="720"/>
        <w:jc w:val="both"/>
        <w:rPr>
          <w:b/>
          <w:sz w:val="24"/>
          <w:szCs w:val="24"/>
        </w:rPr>
      </w:pPr>
      <w:r w:rsidRPr="00F334D7">
        <w:rPr>
          <w:b/>
          <w:sz w:val="24"/>
          <w:szCs w:val="24"/>
        </w:rPr>
        <w:t>Q.</w:t>
      </w:r>
      <w:r w:rsidRPr="00F334D7">
        <w:rPr>
          <w:b/>
          <w:sz w:val="24"/>
          <w:szCs w:val="24"/>
        </w:rPr>
        <w:tab/>
        <w:t>Has the Company proposed any new rate riders?</w:t>
      </w:r>
    </w:p>
    <w:p w:rsidR="00F334D7" w:rsidRDefault="00F334D7" w:rsidP="007925E4">
      <w:pPr>
        <w:spacing w:line="480" w:lineRule="auto"/>
        <w:ind w:left="720" w:hanging="720"/>
        <w:jc w:val="both"/>
        <w:rPr>
          <w:sz w:val="24"/>
          <w:szCs w:val="24"/>
        </w:rPr>
      </w:pPr>
      <w:r>
        <w:rPr>
          <w:sz w:val="24"/>
          <w:szCs w:val="24"/>
        </w:rPr>
        <w:t>A.</w:t>
      </w:r>
      <w:r>
        <w:rPr>
          <w:sz w:val="24"/>
          <w:szCs w:val="24"/>
        </w:rPr>
        <w:tab/>
        <w:t>Yes.  The Company requests Rider UEDIT.</w:t>
      </w:r>
    </w:p>
    <w:p w:rsidR="00F334D7" w:rsidRPr="00FA3048" w:rsidRDefault="00F334D7" w:rsidP="007925E4">
      <w:pPr>
        <w:spacing w:line="480" w:lineRule="auto"/>
        <w:ind w:left="720" w:hanging="720"/>
        <w:jc w:val="both"/>
        <w:rPr>
          <w:b/>
          <w:sz w:val="24"/>
          <w:szCs w:val="24"/>
        </w:rPr>
      </w:pPr>
      <w:r w:rsidRPr="00FA3048">
        <w:rPr>
          <w:b/>
          <w:sz w:val="24"/>
          <w:szCs w:val="24"/>
        </w:rPr>
        <w:t>Q.</w:t>
      </w:r>
      <w:r w:rsidRPr="00FA3048">
        <w:rPr>
          <w:b/>
          <w:sz w:val="24"/>
          <w:szCs w:val="24"/>
        </w:rPr>
        <w:tab/>
        <w:t>What is Rider UEDIT?</w:t>
      </w:r>
    </w:p>
    <w:p w:rsidR="001F3FE9" w:rsidRDefault="00F334D7" w:rsidP="001F3FE9">
      <w:pPr>
        <w:spacing w:line="480" w:lineRule="auto"/>
        <w:ind w:left="720" w:hanging="720"/>
        <w:jc w:val="both"/>
        <w:rPr>
          <w:sz w:val="24"/>
          <w:szCs w:val="24"/>
        </w:rPr>
      </w:pPr>
      <w:r>
        <w:rPr>
          <w:sz w:val="24"/>
          <w:szCs w:val="24"/>
        </w:rPr>
        <w:t>A.</w:t>
      </w:r>
      <w:r>
        <w:rPr>
          <w:sz w:val="24"/>
          <w:szCs w:val="24"/>
        </w:rPr>
        <w:tab/>
      </w:r>
      <w:r w:rsidR="001F3FE9">
        <w:rPr>
          <w:sz w:val="24"/>
          <w:szCs w:val="24"/>
        </w:rPr>
        <w:t>Company witness Troxle states:</w:t>
      </w:r>
    </w:p>
    <w:p w:rsidR="00F334D7" w:rsidRDefault="001F3FE9" w:rsidP="001F3FE9">
      <w:pPr>
        <w:ind w:left="1440" w:right="720"/>
        <w:jc w:val="both"/>
        <w:rPr>
          <w:sz w:val="24"/>
          <w:szCs w:val="24"/>
        </w:rPr>
      </w:pPr>
      <w:r w:rsidRPr="001F3FE9">
        <w:rPr>
          <w:sz w:val="24"/>
          <w:szCs w:val="24"/>
        </w:rPr>
        <w:t>The purpose of Rider UEDIT is to refund to customers the balance of unprotected</w:t>
      </w:r>
      <w:r>
        <w:rPr>
          <w:sz w:val="24"/>
          <w:szCs w:val="24"/>
        </w:rPr>
        <w:t xml:space="preserve"> </w:t>
      </w:r>
      <w:r w:rsidRPr="001F3FE9">
        <w:rPr>
          <w:sz w:val="24"/>
          <w:szCs w:val="24"/>
        </w:rPr>
        <w:t>excess deferred income taxes resulting from the Tax Cuts and Jobs Act of 2017 that</w:t>
      </w:r>
      <w:r>
        <w:rPr>
          <w:sz w:val="24"/>
          <w:szCs w:val="24"/>
        </w:rPr>
        <w:t xml:space="preserve"> </w:t>
      </w:r>
      <w:r w:rsidRPr="001F3FE9">
        <w:rPr>
          <w:sz w:val="24"/>
          <w:szCs w:val="24"/>
        </w:rPr>
        <w:t>changed the corporate federal income tax rate in 2018.</w:t>
      </w:r>
      <w:r>
        <w:rPr>
          <w:rStyle w:val="FootnoteReference"/>
          <w:sz w:val="24"/>
          <w:szCs w:val="24"/>
        </w:rPr>
        <w:footnoteReference w:id="130"/>
      </w:r>
    </w:p>
    <w:p w:rsidR="008C20E6" w:rsidRDefault="008C20E6" w:rsidP="001F3FE9">
      <w:pPr>
        <w:ind w:left="1440" w:right="720"/>
        <w:jc w:val="both"/>
        <w:rPr>
          <w:sz w:val="24"/>
          <w:szCs w:val="24"/>
        </w:rPr>
      </w:pPr>
    </w:p>
    <w:p w:rsidR="00F334D7" w:rsidRDefault="008C20E6" w:rsidP="008C20E6">
      <w:pPr>
        <w:spacing w:line="480" w:lineRule="auto"/>
        <w:ind w:left="720" w:hanging="720"/>
        <w:jc w:val="both"/>
        <w:rPr>
          <w:b/>
          <w:sz w:val="24"/>
          <w:szCs w:val="24"/>
        </w:rPr>
      </w:pPr>
      <w:r w:rsidRPr="008C20E6">
        <w:rPr>
          <w:b/>
          <w:sz w:val="24"/>
          <w:szCs w:val="24"/>
        </w:rPr>
        <w:t>Q.</w:t>
      </w:r>
      <w:r w:rsidRPr="008C20E6">
        <w:rPr>
          <w:b/>
          <w:sz w:val="24"/>
          <w:szCs w:val="24"/>
        </w:rPr>
        <w:tab/>
        <w:t>How does the Company propose to functionalize the UEDIT to be credited under Rider UEDIT?</w:t>
      </w:r>
    </w:p>
    <w:p w:rsidR="008C20E6" w:rsidRPr="008C20E6" w:rsidRDefault="008C20E6" w:rsidP="008C20E6">
      <w:pPr>
        <w:spacing w:line="480" w:lineRule="auto"/>
        <w:ind w:left="720" w:hanging="720"/>
        <w:jc w:val="both"/>
        <w:rPr>
          <w:sz w:val="24"/>
          <w:szCs w:val="24"/>
        </w:rPr>
      </w:pPr>
      <w:r w:rsidRPr="008C20E6">
        <w:rPr>
          <w:sz w:val="24"/>
          <w:szCs w:val="24"/>
        </w:rPr>
        <w:t>A.</w:t>
      </w:r>
      <w:r w:rsidRPr="008C20E6">
        <w:rPr>
          <w:sz w:val="24"/>
          <w:szCs w:val="24"/>
        </w:rPr>
        <w:tab/>
        <w:t xml:space="preserve">The Company has directly assigned the </w:t>
      </w:r>
      <w:r w:rsidR="00F50143">
        <w:rPr>
          <w:sz w:val="24"/>
          <w:szCs w:val="24"/>
        </w:rPr>
        <w:t xml:space="preserve">full amount </w:t>
      </w:r>
      <w:r w:rsidRPr="008C20E6">
        <w:rPr>
          <w:sz w:val="24"/>
          <w:szCs w:val="24"/>
        </w:rPr>
        <w:t>to retail cost of service</w:t>
      </w:r>
      <w:r w:rsidR="00F50143">
        <w:rPr>
          <w:sz w:val="24"/>
          <w:szCs w:val="24"/>
        </w:rPr>
        <w:t>,</w:t>
      </w:r>
      <w:r w:rsidRPr="008C20E6">
        <w:rPr>
          <w:sz w:val="24"/>
          <w:szCs w:val="24"/>
        </w:rPr>
        <w:t xml:space="preserve"> to be </w:t>
      </w:r>
      <w:r w:rsidR="00F50143">
        <w:rPr>
          <w:sz w:val="24"/>
          <w:szCs w:val="24"/>
        </w:rPr>
        <w:t>refunded</w:t>
      </w:r>
      <w:r w:rsidRPr="008C20E6">
        <w:rPr>
          <w:sz w:val="24"/>
          <w:szCs w:val="24"/>
        </w:rPr>
        <w:t xml:space="preserve"> to retail ratepayers in </w:t>
      </w:r>
      <w:r w:rsidR="00C8262C">
        <w:rPr>
          <w:sz w:val="24"/>
          <w:szCs w:val="24"/>
        </w:rPr>
        <w:t>CEHE</w:t>
      </w:r>
      <w:r w:rsidRPr="008C20E6">
        <w:rPr>
          <w:sz w:val="24"/>
          <w:szCs w:val="24"/>
        </w:rPr>
        <w:t>’s service territory.</w:t>
      </w:r>
      <w:r>
        <w:rPr>
          <w:rStyle w:val="FootnoteReference"/>
          <w:sz w:val="24"/>
          <w:szCs w:val="24"/>
        </w:rPr>
        <w:footnoteReference w:id="131"/>
      </w:r>
    </w:p>
    <w:p w:rsidR="00C02D71" w:rsidRDefault="00C02D71" w:rsidP="00C02D71">
      <w:pPr>
        <w:suppressLineNumbers/>
        <w:spacing w:line="480" w:lineRule="auto"/>
        <w:ind w:left="720" w:hanging="720"/>
        <w:jc w:val="both"/>
        <w:rPr>
          <w:b/>
          <w:sz w:val="24"/>
          <w:szCs w:val="24"/>
        </w:rPr>
      </w:pPr>
    </w:p>
    <w:p w:rsidR="00C02D71" w:rsidRDefault="00C02D71" w:rsidP="00C02D71">
      <w:pPr>
        <w:suppressLineNumbers/>
        <w:spacing w:line="480" w:lineRule="auto"/>
        <w:ind w:left="720" w:hanging="720"/>
        <w:jc w:val="both"/>
        <w:rPr>
          <w:b/>
          <w:sz w:val="24"/>
          <w:szCs w:val="24"/>
        </w:rPr>
      </w:pPr>
    </w:p>
    <w:p w:rsidR="00C02D71" w:rsidRDefault="00C02D71" w:rsidP="00C02D71">
      <w:pPr>
        <w:suppressLineNumbers/>
        <w:spacing w:line="480" w:lineRule="auto"/>
        <w:ind w:left="720" w:hanging="720"/>
        <w:jc w:val="both"/>
        <w:rPr>
          <w:b/>
          <w:sz w:val="24"/>
          <w:szCs w:val="24"/>
        </w:rPr>
      </w:pPr>
    </w:p>
    <w:p w:rsidR="008C20E6" w:rsidRDefault="008C20E6" w:rsidP="008C20E6">
      <w:pPr>
        <w:spacing w:line="480" w:lineRule="auto"/>
        <w:ind w:left="720" w:hanging="720"/>
        <w:jc w:val="both"/>
        <w:rPr>
          <w:b/>
          <w:sz w:val="24"/>
          <w:szCs w:val="24"/>
        </w:rPr>
      </w:pPr>
      <w:r>
        <w:rPr>
          <w:b/>
          <w:sz w:val="24"/>
          <w:szCs w:val="24"/>
        </w:rPr>
        <w:t>Q.</w:t>
      </w:r>
      <w:r>
        <w:rPr>
          <w:b/>
          <w:sz w:val="24"/>
          <w:szCs w:val="24"/>
        </w:rPr>
        <w:tab/>
      </w:r>
      <w:r w:rsidR="00763867">
        <w:rPr>
          <w:b/>
          <w:sz w:val="24"/>
          <w:szCs w:val="24"/>
        </w:rPr>
        <w:t>Do you support the Company’s proposed functionalization of UEDIT?</w:t>
      </w:r>
    </w:p>
    <w:p w:rsidR="00810B91" w:rsidRDefault="00763867" w:rsidP="008C20E6">
      <w:pPr>
        <w:spacing w:line="480" w:lineRule="auto"/>
        <w:ind w:left="720" w:hanging="720"/>
        <w:jc w:val="both"/>
        <w:rPr>
          <w:sz w:val="24"/>
          <w:szCs w:val="24"/>
        </w:rPr>
      </w:pPr>
      <w:r w:rsidRPr="00763867">
        <w:rPr>
          <w:sz w:val="24"/>
          <w:szCs w:val="24"/>
        </w:rPr>
        <w:t>A.</w:t>
      </w:r>
      <w:r w:rsidRPr="00763867">
        <w:rPr>
          <w:sz w:val="24"/>
          <w:szCs w:val="24"/>
        </w:rPr>
        <w:tab/>
      </w:r>
      <w:r w:rsidR="006D377F">
        <w:rPr>
          <w:sz w:val="24"/>
          <w:szCs w:val="24"/>
        </w:rPr>
        <w:t xml:space="preserve">No.  Some share of UEDIT is properly assigned to wholesale transmission.  </w:t>
      </w:r>
      <w:r w:rsidR="0066183E">
        <w:rPr>
          <w:sz w:val="24"/>
          <w:szCs w:val="24"/>
        </w:rPr>
        <w:t>Company witness Pringle supports the Company’s functionalization of income-tax related amounts.</w:t>
      </w:r>
      <w:r w:rsidR="0066183E">
        <w:rPr>
          <w:rStyle w:val="FootnoteReference"/>
          <w:sz w:val="24"/>
          <w:szCs w:val="24"/>
        </w:rPr>
        <w:footnoteReference w:id="132"/>
      </w:r>
      <w:r w:rsidR="00810B91">
        <w:rPr>
          <w:sz w:val="24"/>
          <w:szCs w:val="24"/>
        </w:rPr>
        <w:t xml:space="preserve">  In his testimony, Mr. Pringle states that </w:t>
      </w:r>
    </w:p>
    <w:p w:rsidR="00556E7D" w:rsidRPr="00556E7D" w:rsidRDefault="00556E7D" w:rsidP="00556E7D">
      <w:pPr>
        <w:ind w:left="1440" w:right="720"/>
        <w:jc w:val="both"/>
        <w:rPr>
          <w:sz w:val="24"/>
          <w:szCs w:val="24"/>
        </w:rPr>
      </w:pPr>
      <w:r w:rsidRPr="00556E7D">
        <w:rPr>
          <w:sz w:val="24"/>
          <w:szCs w:val="24"/>
        </w:rPr>
        <w:t>Q. IS THE COMPANY CURRENTLY REFUNDING ANY UNPROTECTED</w:t>
      </w:r>
      <w:r>
        <w:rPr>
          <w:sz w:val="24"/>
          <w:szCs w:val="24"/>
        </w:rPr>
        <w:t xml:space="preserve"> </w:t>
      </w:r>
      <w:r w:rsidRPr="00556E7D">
        <w:rPr>
          <w:sz w:val="24"/>
          <w:szCs w:val="24"/>
        </w:rPr>
        <w:t>EDIT?</w:t>
      </w:r>
    </w:p>
    <w:p w:rsidR="00810B91" w:rsidRDefault="00556E7D" w:rsidP="00556E7D">
      <w:pPr>
        <w:ind w:left="1440" w:right="720"/>
        <w:jc w:val="both"/>
        <w:rPr>
          <w:sz w:val="24"/>
          <w:szCs w:val="24"/>
        </w:rPr>
      </w:pPr>
      <w:r w:rsidRPr="00556E7D">
        <w:rPr>
          <w:sz w:val="24"/>
          <w:szCs w:val="24"/>
        </w:rPr>
        <w:t>A. Yes. The Company is annually returning $5.1 million of unprotected transmission</w:t>
      </w:r>
      <w:r>
        <w:rPr>
          <w:sz w:val="24"/>
          <w:szCs w:val="24"/>
        </w:rPr>
        <w:t xml:space="preserve"> </w:t>
      </w:r>
      <w:r w:rsidRPr="00556E7D">
        <w:rPr>
          <w:sz w:val="24"/>
          <w:szCs w:val="24"/>
        </w:rPr>
        <w:t xml:space="preserve">plant related EDIT (grossed-up to a regulatory liability </w:t>
      </w:r>
      <w:r>
        <w:rPr>
          <w:sz w:val="24"/>
          <w:szCs w:val="24"/>
        </w:rPr>
        <w:t xml:space="preserve">of $6.5 million) </w:t>
      </w:r>
      <w:r w:rsidRPr="00556E7D">
        <w:rPr>
          <w:sz w:val="24"/>
          <w:szCs w:val="24"/>
        </w:rPr>
        <w:t>[</w:t>
      </w:r>
      <w:r w:rsidR="002E68B0">
        <w:rPr>
          <w:sz w:val="24"/>
          <w:szCs w:val="24"/>
        </w:rPr>
        <w:t xml:space="preserve">with </w:t>
      </w:r>
      <w:r w:rsidRPr="00556E7D">
        <w:rPr>
          <w:sz w:val="24"/>
          <w:szCs w:val="24"/>
        </w:rPr>
        <w:t>footnote to Docket No. 48065, Final Order (Apr. 27, 2018)].  In</w:t>
      </w:r>
      <w:r>
        <w:rPr>
          <w:sz w:val="24"/>
          <w:szCs w:val="24"/>
        </w:rPr>
        <w:t xml:space="preserve"> </w:t>
      </w:r>
      <w:r w:rsidRPr="00556E7D">
        <w:rPr>
          <w:sz w:val="24"/>
          <w:szCs w:val="24"/>
        </w:rPr>
        <w:t>addition, the Company is returning unprotected distribution plant related EDIT of</w:t>
      </w:r>
      <w:r>
        <w:rPr>
          <w:sz w:val="24"/>
          <w:szCs w:val="24"/>
        </w:rPr>
        <w:t xml:space="preserve"> </w:t>
      </w:r>
      <w:r w:rsidRPr="00556E7D">
        <w:rPr>
          <w:sz w:val="24"/>
          <w:szCs w:val="24"/>
        </w:rPr>
        <w:t>$15.7 million, which grossed up and net of return</w:t>
      </w:r>
      <w:r>
        <w:rPr>
          <w:sz w:val="24"/>
          <w:szCs w:val="24"/>
        </w:rPr>
        <w:t xml:space="preserve"> equals $19.2 million annually </w:t>
      </w:r>
      <w:r w:rsidRPr="00556E7D">
        <w:rPr>
          <w:sz w:val="24"/>
          <w:szCs w:val="24"/>
        </w:rPr>
        <w:t>[</w:t>
      </w:r>
      <w:r w:rsidR="002E68B0">
        <w:rPr>
          <w:sz w:val="24"/>
          <w:szCs w:val="24"/>
        </w:rPr>
        <w:t xml:space="preserve">with </w:t>
      </w:r>
      <w:r w:rsidRPr="00556E7D">
        <w:rPr>
          <w:sz w:val="24"/>
          <w:szCs w:val="24"/>
        </w:rPr>
        <w:t>footnote to</w:t>
      </w:r>
      <w:r w:rsidR="002E68B0">
        <w:rPr>
          <w:sz w:val="24"/>
          <w:szCs w:val="24"/>
        </w:rPr>
        <w:t xml:space="preserve"> </w:t>
      </w:r>
      <w:r w:rsidRPr="00556E7D">
        <w:rPr>
          <w:sz w:val="24"/>
          <w:szCs w:val="24"/>
        </w:rPr>
        <w:t>Docket No. 48226, Final Order at Finding of Fact 33 (Aug. 30, 2018)].</w:t>
      </w:r>
      <w:r>
        <w:rPr>
          <w:sz w:val="24"/>
          <w:szCs w:val="24"/>
        </w:rPr>
        <w:t xml:space="preserve">  </w:t>
      </w:r>
      <w:r w:rsidRPr="00556E7D">
        <w:rPr>
          <w:sz w:val="24"/>
          <w:szCs w:val="24"/>
        </w:rPr>
        <w:t>Through the end of 2018, the Company has refunded $8.4 million of unprotected</w:t>
      </w:r>
      <w:r>
        <w:rPr>
          <w:sz w:val="24"/>
          <w:szCs w:val="24"/>
        </w:rPr>
        <w:t xml:space="preserve"> </w:t>
      </w:r>
      <w:r w:rsidRPr="00556E7D">
        <w:rPr>
          <w:sz w:val="24"/>
          <w:szCs w:val="24"/>
        </w:rPr>
        <w:t>EDIT through these mechanisms. These refunds will continue until new rates go</w:t>
      </w:r>
      <w:r>
        <w:rPr>
          <w:sz w:val="24"/>
          <w:szCs w:val="24"/>
        </w:rPr>
        <w:t xml:space="preserve"> </w:t>
      </w:r>
      <w:r w:rsidRPr="00556E7D">
        <w:rPr>
          <w:sz w:val="24"/>
          <w:szCs w:val="24"/>
        </w:rPr>
        <w:t>into effect.</w:t>
      </w:r>
    </w:p>
    <w:p w:rsidR="00810B91" w:rsidRDefault="00810B91" w:rsidP="00556E7D">
      <w:pPr>
        <w:ind w:left="720" w:hanging="720"/>
        <w:jc w:val="both"/>
        <w:rPr>
          <w:sz w:val="24"/>
          <w:szCs w:val="24"/>
        </w:rPr>
      </w:pPr>
    </w:p>
    <w:p w:rsidR="00556E7D" w:rsidRDefault="00556E7D" w:rsidP="002E68B0">
      <w:pPr>
        <w:spacing w:line="480" w:lineRule="auto"/>
        <w:ind w:left="720" w:hanging="720"/>
        <w:jc w:val="both"/>
        <w:rPr>
          <w:sz w:val="24"/>
          <w:szCs w:val="24"/>
        </w:rPr>
      </w:pPr>
      <w:r>
        <w:rPr>
          <w:sz w:val="24"/>
          <w:szCs w:val="24"/>
        </w:rPr>
        <w:tab/>
      </w:r>
      <w:r>
        <w:rPr>
          <w:sz w:val="24"/>
          <w:szCs w:val="24"/>
        </w:rPr>
        <w:tab/>
        <w:t>Docket No. 48065 was a proceeding to set the Company’s wholesale transmission rates, which will be updated in this proceeding.  Docket No. 48226 was a DCRF proceeding.  At the time of th</w:t>
      </w:r>
      <w:r w:rsidR="00F23187">
        <w:rPr>
          <w:sz w:val="24"/>
          <w:szCs w:val="24"/>
        </w:rPr>
        <w:t>o</w:t>
      </w:r>
      <w:r>
        <w:rPr>
          <w:sz w:val="24"/>
          <w:szCs w:val="24"/>
        </w:rPr>
        <w:t xml:space="preserve">se proceedings, </w:t>
      </w:r>
      <w:r w:rsidR="00C8262C">
        <w:rPr>
          <w:sz w:val="24"/>
          <w:szCs w:val="24"/>
        </w:rPr>
        <w:t>CEHE</w:t>
      </w:r>
      <w:r>
        <w:rPr>
          <w:sz w:val="24"/>
          <w:szCs w:val="24"/>
        </w:rPr>
        <w:t xml:space="preserve"> functionalized </w:t>
      </w:r>
      <w:r w:rsidR="00F23187">
        <w:rPr>
          <w:sz w:val="24"/>
          <w:szCs w:val="24"/>
        </w:rPr>
        <w:t>24.5</w:t>
      </w:r>
      <w:r>
        <w:rPr>
          <w:sz w:val="24"/>
          <w:szCs w:val="24"/>
        </w:rPr>
        <w:t xml:space="preserve">% </w:t>
      </w:r>
      <w:r w:rsidR="004E58A6">
        <w:rPr>
          <w:sz w:val="24"/>
          <w:szCs w:val="24"/>
        </w:rPr>
        <w:t xml:space="preserve">of UEDIT </w:t>
      </w:r>
      <w:r>
        <w:rPr>
          <w:sz w:val="24"/>
          <w:szCs w:val="24"/>
        </w:rPr>
        <w:t xml:space="preserve">to transmission ($5.1 million divided by $20.8 million) and </w:t>
      </w:r>
      <w:r w:rsidR="00F23187">
        <w:rPr>
          <w:sz w:val="24"/>
          <w:szCs w:val="24"/>
        </w:rPr>
        <w:t>75.5</w:t>
      </w:r>
      <w:r>
        <w:rPr>
          <w:sz w:val="24"/>
          <w:szCs w:val="24"/>
        </w:rPr>
        <w:t>% to distri</w:t>
      </w:r>
      <w:r>
        <w:rPr>
          <w:sz w:val="24"/>
          <w:szCs w:val="24"/>
        </w:rPr>
        <w:lastRenderedPageBreak/>
        <w:t>bution (</w:t>
      </w:r>
      <w:r w:rsidR="00F23187">
        <w:rPr>
          <w:sz w:val="24"/>
          <w:szCs w:val="24"/>
        </w:rPr>
        <w:t xml:space="preserve">the </w:t>
      </w:r>
      <w:r>
        <w:rPr>
          <w:sz w:val="24"/>
          <w:szCs w:val="24"/>
        </w:rPr>
        <w:t xml:space="preserve">remainder).  In this proceeding, the Company proposes to </w:t>
      </w:r>
      <w:r w:rsidR="002E68B0">
        <w:rPr>
          <w:sz w:val="24"/>
          <w:szCs w:val="24"/>
        </w:rPr>
        <w:t xml:space="preserve">assign 0% of UEDIT to wholesale transmission, and 100% to retail delivery.  The Company’s proposal has the effect of </w:t>
      </w:r>
      <w:r>
        <w:rPr>
          <w:sz w:val="24"/>
          <w:szCs w:val="24"/>
        </w:rPr>
        <w:t xml:space="preserve">transferring the </w:t>
      </w:r>
      <w:r w:rsidR="00BC49A8">
        <w:rPr>
          <w:sz w:val="24"/>
          <w:szCs w:val="24"/>
        </w:rPr>
        <w:t xml:space="preserve">entire </w:t>
      </w:r>
      <w:r w:rsidR="003541F5">
        <w:rPr>
          <w:sz w:val="24"/>
          <w:szCs w:val="24"/>
        </w:rPr>
        <w:t xml:space="preserve">remaining </w:t>
      </w:r>
      <w:r w:rsidR="004E58A6">
        <w:rPr>
          <w:sz w:val="24"/>
          <w:szCs w:val="24"/>
        </w:rPr>
        <w:t xml:space="preserve">wholesale portion of the UEDIT </w:t>
      </w:r>
      <w:r>
        <w:rPr>
          <w:sz w:val="24"/>
          <w:szCs w:val="24"/>
        </w:rPr>
        <w:t>credit</w:t>
      </w:r>
      <w:r w:rsidR="00EE7FE4">
        <w:rPr>
          <w:sz w:val="24"/>
          <w:szCs w:val="24"/>
        </w:rPr>
        <w:t xml:space="preserve"> </w:t>
      </w:r>
      <w:r w:rsidR="002E68B0">
        <w:rPr>
          <w:sz w:val="24"/>
          <w:szCs w:val="24"/>
        </w:rPr>
        <w:t xml:space="preserve">approved in Docket No. 48065 </w:t>
      </w:r>
      <w:r>
        <w:rPr>
          <w:sz w:val="24"/>
          <w:szCs w:val="24"/>
        </w:rPr>
        <w:t xml:space="preserve">to retail customers </w:t>
      </w:r>
      <w:r w:rsidR="004E58A6">
        <w:rPr>
          <w:sz w:val="24"/>
          <w:szCs w:val="24"/>
        </w:rPr>
        <w:t>under Rider UEDIT.</w:t>
      </w:r>
    </w:p>
    <w:p w:rsidR="00556E7D" w:rsidRPr="00F23187" w:rsidRDefault="00556E7D" w:rsidP="008C20E6">
      <w:pPr>
        <w:spacing w:line="480" w:lineRule="auto"/>
        <w:ind w:left="720" w:hanging="720"/>
        <w:jc w:val="both"/>
        <w:rPr>
          <w:b/>
          <w:sz w:val="24"/>
          <w:szCs w:val="24"/>
        </w:rPr>
      </w:pPr>
      <w:r w:rsidRPr="00F23187">
        <w:rPr>
          <w:b/>
          <w:sz w:val="24"/>
          <w:szCs w:val="24"/>
        </w:rPr>
        <w:t xml:space="preserve"> </w:t>
      </w:r>
      <w:r w:rsidR="00F23187" w:rsidRPr="00F23187">
        <w:rPr>
          <w:b/>
          <w:sz w:val="24"/>
          <w:szCs w:val="24"/>
        </w:rPr>
        <w:t>Q.</w:t>
      </w:r>
      <w:r w:rsidR="00F23187" w:rsidRPr="00F23187">
        <w:rPr>
          <w:b/>
          <w:sz w:val="24"/>
          <w:szCs w:val="24"/>
        </w:rPr>
        <w:tab/>
        <w:t xml:space="preserve">Did the Company explain why it proposes to re-functionalize UEDIT by directly assigning the </w:t>
      </w:r>
      <w:r w:rsidR="00994FDB">
        <w:rPr>
          <w:b/>
          <w:sz w:val="24"/>
          <w:szCs w:val="24"/>
        </w:rPr>
        <w:t xml:space="preserve">entire </w:t>
      </w:r>
      <w:r w:rsidR="00F23187" w:rsidRPr="00F23187">
        <w:rPr>
          <w:b/>
          <w:sz w:val="24"/>
          <w:szCs w:val="24"/>
        </w:rPr>
        <w:t>remaining unreturned balance to retail?</w:t>
      </w:r>
    </w:p>
    <w:p w:rsidR="00F23187" w:rsidRDefault="00F23187" w:rsidP="008C20E6">
      <w:pPr>
        <w:spacing w:line="480" w:lineRule="auto"/>
        <w:ind w:left="720" w:hanging="720"/>
        <w:jc w:val="both"/>
        <w:rPr>
          <w:sz w:val="24"/>
          <w:szCs w:val="24"/>
        </w:rPr>
      </w:pPr>
      <w:r>
        <w:rPr>
          <w:sz w:val="24"/>
          <w:szCs w:val="24"/>
        </w:rPr>
        <w:t>A.</w:t>
      </w:r>
      <w:r>
        <w:rPr>
          <w:sz w:val="24"/>
          <w:szCs w:val="24"/>
        </w:rPr>
        <w:tab/>
        <w:t>No, not to my knowledge.</w:t>
      </w:r>
    </w:p>
    <w:p w:rsidR="00F23187" w:rsidRPr="00F23187" w:rsidRDefault="00F23187" w:rsidP="008C20E6">
      <w:pPr>
        <w:spacing w:line="480" w:lineRule="auto"/>
        <w:ind w:left="720" w:hanging="720"/>
        <w:jc w:val="both"/>
        <w:rPr>
          <w:b/>
          <w:sz w:val="24"/>
          <w:szCs w:val="24"/>
        </w:rPr>
      </w:pPr>
      <w:r w:rsidRPr="00F23187">
        <w:rPr>
          <w:b/>
          <w:sz w:val="24"/>
          <w:szCs w:val="24"/>
        </w:rPr>
        <w:t>Q.</w:t>
      </w:r>
      <w:r w:rsidRPr="00F23187">
        <w:rPr>
          <w:b/>
          <w:sz w:val="24"/>
          <w:szCs w:val="24"/>
        </w:rPr>
        <w:tab/>
        <w:t>What do you recommend?</w:t>
      </w:r>
    </w:p>
    <w:p w:rsidR="00974629" w:rsidRDefault="00F23187" w:rsidP="00AF41AB">
      <w:pPr>
        <w:spacing w:line="480" w:lineRule="auto"/>
        <w:ind w:left="720" w:hanging="720"/>
        <w:jc w:val="both"/>
        <w:rPr>
          <w:sz w:val="24"/>
          <w:szCs w:val="24"/>
        </w:rPr>
      </w:pPr>
      <w:r>
        <w:rPr>
          <w:sz w:val="24"/>
          <w:szCs w:val="24"/>
        </w:rPr>
        <w:t>A.</w:t>
      </w:r>
      <w:r>
        <w:rPr>
          <w:sz w:val="24"/>
          <w:szCs w:val="24"/>
        </w:rPr>
        <w:tab/>
        <w:t>I recommend that UEDIT be functionalized among wholesale transmission and retail delivery using the Commission-approved amounts in Docket Nos. 48065 and 48226</w:t>
      </w:r>
      <w:r w:rsidR="00895F40">
        <w:rPr>
          <w:sz w:val="24"/>
          <w:szCs w:val="24"/>
        </w:rPr>
        <w:t>, as follows:</w:t>
      </w:r>
    </w:p>
    <w:p w:rsidR="00895F40" w:rsidRDefault="00895F40" w:rsidP="00F23187">
      <w:pPr>
        <w:spacing w:line="480" w:lineRule="auto"/>
        <w:ind w:left="720" w:hanging="720"/>
        <w:jc w:val="both"/>
        <w:rPr>
          <w:sz w:val="24"/>
          <w:szCs w:val="24"/>
        </w:rPr>
      </w:pPr>
      <w:r>
        <w:rPr>
          <w:sz w:val="24"/>
          <w:szCs w:val="24"/>
        </w:rPr>
        <w:tab/>
      </w:r>
      <w:r w:rsidRPr="00D35DAF">
        <w:rPr>
          <w:sz w:val="24"/>
          <w:szCs w:val="24"/>
        </w:rPr>
        <w:t xml:space="preserve">Table </w:t>
      </w:r>
      <w:r w:rsidR="00D35DAF" w:rsidRPr="00D35DAF">
        <w:rPr>
          <w:sz w:val="24"/>
          <w:szCs w:val="24"/>
        </w:rPr>
        <w:t>BTM-14</w:t>
      </w:r>
      <w:r>
        <w:rPr>
          <w:sz w:val="24"/>
          <w:szCs w:val="24"/>
        </w:rPr>
        <w:tab/>
      </w:r>
      <w:r>
        <w:rPr>
          <w:sz w:val="24"/>
          <w:szCs w:val="24"/>
        </w:rPr>
        <w:tab/>
        <w:t>Functionalization of UEDIT</w:t>
      </w:r>
    </w:p>
    <w:tbl>
      <w:tblPr>
        <w:tblStyle w:val="TableGrid"/>
        <w:tblW w:w="0" w:type="auto"/>
        <w:tblInd w:w="355" w:type="dxa"/>
        <w:tblLook w:val="04A0" w:firstRow="1" w:lastRow="0" w:firstColumn="1" w:lastColumn="0" w:noHBand="0" w:noVBand="1"/>
      </w:tblPr>
      <w:tblGrid>
        <w:gridCol w:w="2520"/>
        <w:gridCol w:w="1350"/>
        <w:gridCol w:w="1980"/>
        <w:gridCol w:w="2070"/>
      </w:tblGrid>
      <w:tr w:rsidR="00426E56" w:rsidTr="00426E56">
        <w:tc>
          <w:tcPr>
            <w:tcW w:w="2520" w:type="dxa"/>
          </w:tcPr>
          <w:p w:rsidR="00895F40" w:rsidRDefault="00895F40" w:rsidP="00895F40">
            <w:pPr>
              <w:jc w:val="both"/>
              <w:rPr>
                <w:sz w:val="24"/>
                <w:szCs w:val="24"/>
              </w:rPr>
            </w:pPr>
          </w:p>
        </w:tc>
        <w:tc>
          <w:tcPr>
            <w:tcW w:w="1350" w:type="dxa"/>
            <w:vAlign w:val="bottom"/>
          </w:tcPr>
          <w:p w:rsidR="00895F40" w:rsidRDefault="00895F40" w:rsidP="00426E56">
            <w:pPr>
              <w:jc w:val="center"/>
              <w:rPr>
                <w:sz w:val="24"/>
                <w:szCs w:val="24"/>
              </w:rPr>
            </w:pPr>
            <w:r>
              <w:rPr>
                <w:sz w:val="24"/>
                <w:szCs w:val="24"/>
              </w:rPr>
              <w:t>Docket Nos. 48065 and 48226</w:t>
            </w:r>
          </w:p>
        </w:tc>
        <w:tc>
          <w:tcPr>
            <w:tcW w:w="1980" w:type="dxa"/>
            <w:vAlign w:val="bottom"/>
          </w:tcPr>
          <w:p w:rsidR="00895F40" w:rsidRDefault="00895F40" w:rsidP="00426E56">
            <w:pPr>
              <w:jc w:val="center"/>
              <w:rPr>
                <w:sz w:val="24"/>
                <w:szCs w:val="24"/>
              </w:rPr>
            </w:pPr>
            <w:r>
              <w:rPr>
                <w:sz w:val="24"/>
                <w:szCs w:val="24"/>
              </w:rPr>
              <w:t>Functionalization Proportion</w:t>
            </w:r>
          </w:p>
        </w:tc>
        <w:tc>
          <w:tcPr>
            <w:tcW w:w="2070" w:type="dxa"/>
            <w:vAlign w:val="bottom"/>
          </w:tcPr>
          <w:p w:rsidR="00895F40" w:rsidRDefault="00426E56" w:rsidP="00426E56">
            <w:pPr>
              <w:jc w:val="center"/>
              <w:rPr>
                <w:sz w:val="24"/>
                <w:szCs w:val="24"/>
              </w:rPr>
            </w:pPr>
            <w:r>
              <w:rPr>
                <w:sz w:val="24"/>
                <w:szCs w:val="24"/>
              </w:rPr>
              <w:t>Assigned amount of UEDIT</w:t>
            </w:r>
          </w:p>
        </w:tc>
      </w:tr>
      <w:tr w:rsidR="00426E56" w:rsidTr="00426E56">
        <w:tc>
          <w:tcPr>
            <w:tcW w:w="2520" w:type="dxa"/>
          </w:tcPr>
          <w:p w:rsidR="00895F40" w:rsidRDefault="00895F40" w:rsidP="00895F40">
            <w:pPr>
              <w:jc w:val="both"/>
              <w:rPr>
                <w:sz w:val="24"/>
                <w:szCs w:val="24"/>
              </w:rPr>
            </w:pPr>
            <w:r>
              <w:rPr>
                <w:sz w:val="24"/>
                <w:szCs w:val="24"/>
              </w:rPr>
              <w:t>Wholesale transmission</w:t>
            </w:r>
          </w:p>
        </w:tc>
        <w:tc>
          <w:tcPr>
            <w:tcW w:w="1350" w:type="dxa"/>
            <w:vAlign w:val="bottom"/>
          </w:tcPr>
          <w:p w:rsidR="00895F40" w:rsidRDefault="00895F40" w:rsidP="00426E56">
            <w:pPr>
              <w:jc w:val="right"/>
              <w:rPr>
                <w:sz w:val="24"/>
                <w:szCs w:val="24"/>
              </w:rPr>
            </w:pPr>
            <w:r>
              <w:rPr>
                <w:sz w:val="24"/>
                <w:szCs w:val="24"/>
              </w:rPr>
              <w:t>5.1</w:t>
            </w:r>
          </w:p>
        </w:tc>
        <w:tc>
          <w:tcPr>
            <w:tcW w:w="1980" w:type="dxa"/>
            <w:vAlign w:val="bottom"/>
          </w:tcPr>
          <w:p w:rsidR="00895F40" w:rsidRDefault="00426E56" w:rsidP="00426E56">
            <w:pPr>
              <w:jc w:val="right"/>
              <w:rPr>
                <w:sz w:val="24"/>
                <w:szCs w:val="24"/>
              </w:rPr>
            </w:pPr>
            <w:r>
              <w:rPr>
                <w:sz w:val="24"/>
                <w:szCs w:val="24"/>
              </w:rPr>
              <w:t>0.2452</w:t>
            </w:r>
          </w:p>
        </w:tc>
        <w:tc>
          <w:tcPr>
            <w:tcW w:w="2070" w:type="dxa"/>
            <w:vAlign w:val="bottom"/>
          </w:tcPr>
          <w:p w:rsidR="00895F40" w:rsidRDefault="00426E56" w:rsidP="00426E56">
            <w:pPr>
              <w:jc w:val="right"/>
              <w:rPr>
                <w:sz w:val="24"/>
                <w:szCs w:val="24"/>
              </w:rPr>
            </w:pPr>
            <w:r>
              <w:rPr>
                <w:sz w:val="24"/>
                <w:szCs w:val="24"/>
              </w:rPr>
              <w:t>-$7,934,344</w:t>
            </w:r>
          </w:p>
        </w:tc>
      </w:tr>
      <w:tr w:rsidR="00426E56" w:rsidTr="00426E56">
        <w:tc>
          <w:tcPr>
            <w:tcW w:w="2520" w:type="dxa"/>
          </w:tcPr>
          <w:p w:rsidR="00895F40" w:rsidRDefault="00895F40" w:rsidP="00895F40">
            <w:pPr>
              <w:jc w:val="both"/>
              <w:rPr>
                <w:sz w:val="24"/>
                <w:szCs w:val="24"/>
              </w:rPr>
            </w:pPr>
            <w:r>
              <w:rPr>
                <w:sz w:val="24"/>
                <w:szCs w:val="24"/>
              </w:rPr>
              <w:t>Retail Delivery</w:t>
            </w:r>
          </w:p>
        </w:tc>
        <w:tc>
          <w:tcPr>
            <w:tcW w:w="1350" w:type="dxa"/>
            <w:vAlign w:val="bottom"/>
          </w:tcPr>
          <w:p w:rsidR="00895F40" w:rsidRDefault="00895F40" w:rsidP="00426E56">
            <w:pPr>
              <w:jc w:val="right"/>
              <w:rPr>
                <w:sz w:val="24"/>
                <w:szCs w:val="24"/>
              </w:rPr>
            </w:pPr>
            <w:r>
              <w:rPr>
                <w:sz w:val="24"/>
                <w:szCs w:val="24"/>
              </w:rPr>
              <w:t>15.7</w:t>
            </w:r>
          </w:p>
        </w:tc>
        <w:tc>
          <w:tcPr>
            <w:tcW w:w="1980" w:type="dxa"/>
            <w:vAlign w:val="bottom"/>
          </w:tcPr>
          <w:p w:rsidR="00895F40" w:rsidRDefault="00426E56" w:rsidP="00426E56">
            <w:pPr>
              <w:jc w:val="right"/>
              <w:rPr>
                <w:sz w:val="24"/>
                <w:szCs w:val="24"/>
              </w:rPr>
            </w:pPr>
            <w:r>
              <w:rPr>
                <w:sz w:val="24"/>
                <w:szCs w:val="24"/>
              </w:rPr>
              <w:t>0.7548</w:t>
            </w:r>
          </w:p>
        </w:tc>
        <w:tc>
          <w:tcPr>
            <w:tcW w:w="2070" w:type="dxa"/>
            <w:vAlign w:val="bottom"/>
          </w:tcPr>
          <w:p w:rsidR="00895F40" w:rsidRDefault="00426E56" w:rsidP="00426E56">
            <w:pPr>
              <w:jc w:val="right"/>
              <w:rPr>
                <w:sz w:val="24"/>
                <w:szCs w:val="24"/>
              </w:rPr>
            </w:pPr>
            <w:r>
              <w:rPr>
                <w:sz w:val="24"/>
                <w:szCs w:val="24"/>
              </w:rPr>
              <w:t>-$24,424,319</w:t>
            </w:r>
          </w:p>
        </w:tc>
      </w:tr>
      <w:tr w:rsidR="00426E56" w:rsidTr="00426E56">
        <w:tc>
          <w:tcPr>
            <w:tcW w:w="2520" w:type="dxa"/>
          </w:tcPr>
          <w:p w:rsidR="00895F40" w:rsidRDefault="00895F40" w:rsidP="00895F40">
            <w:pPr>
              <w:jc w:val="both"/>
              <w:rPr>
                <w:sz w:val="24"/>
                <w:szCs w:val="24"/>
              </w:rPr>
            </w:pPr>
          </w:p>
        </w:tc>
        <w:tc>
          <w:tcPr>
            <w:tcW w:w="1350" w:type="dxa"/>
            <w:vAlign w:val="bottom"/>
          </w:tcPr>
          <w:p w:rsidR="00895F40" w:rsidRDefault="00895F40" w:rsidP="00426E56">
            <w:pPr>
              <w:jc w:val="right"/>
              <w:rPr>
                <w:sz w:val="24"/>
                <w:szCs w:val="24"/>
              </w:rPr>
            </w:pPr>
            <w:r>
              <w:rPr>
                <w:sz w:val="24"/>
                <w:szCs w:val="24"/>
              </w:rPr>
              <w:t>20.8</w:t>
            </w:r>
          </w:p>
        </w:tc>
        <w:tc>
          <w:tcPr>
            <w:tcW w:w="1980" w:type="dxa"/>
            <w:vAlign w:val="bottom"/>
          </w:tcPr>
          <w:p w:rsidR="00895F40" w:rsidRDefault="00426E56" w:rsidP="00426E56">
            <w:pPr>
              <w:jc w:val="right"/>
              <w:rPr>
                <w:sz w:val="24"/>
                <w:szCs w:val="24"/>
              </w:rPr>
            </w:pPr>
            <w:r>
              <w:rPr>
                <w:sz w:val="24"/>
                <w:szCs w:val="24"/>
              </w:rPr>
              <w:t>1.0000</w:t>
            </w:r>
          </w:p>
        </w:tc>
        <w:tc>
          <w:tcPr>
            <w:tcW w:w="2070" w:type="dxa"/>
            <w:vAlign w:val="bottom"/>
          </w:tcPr>
          <w:p w:rsidR="00895F40" w:rsidRDefault="00426E56" w:rsidP="00426E56">
            <w:pPr>
              <w:jc w:val="right"/>
              <w:rPr>
                <w:sz w:val="24"/>
                <w:szCs w:val="24"/>
              </w:rPr>
            </w:pPr>
            <w:r>
              <w:rPr>
                <w:sz w:val="24"/>
                <w:szCs w:val="24"/>
              </w:rPr>
              <w:t>-$32,358,663</w:t>
            </w:r>
          </w:p>
        </w:tc>
      </w:tr>
    </w:tbl>
    <w:p w:rsidR="00895F40" w:rsidRDefault="00895F40" w:rsidP="00994FDB">
      <w:pPr>
        <w:ind w:left="720" w:hanging="720"/>
        <w:jc w:val="both"/>
        <w:rPr>
          <w:sz w:val="24"/>
          <w:szCs w:val="24"/>
        </w:rPr>
      </w:pPr>
    </w:p>
    <w:p w:rsidR="00F23187" w:rsidRPr="00F23187" w:rsidRDefault="00F23187" w:rsidP="00F23187">
      <w:pPr>
        <w:spacing w:line="480" w:lineRule="auto"/>
        <w:ind w:left="720" w:hanging="720"/>
        <w:jc w:val="both"/>
        <w:rPr>
          <w:b/>
          <w:sz w:val="24"/>
          <w:szCs w:val="24"/>
        </w:rPr>
      </w:pPr>
      <w:r w:rsidRPr="00F23187">
        <w:rPr>
          <w:b/>
          <w:sz w:val="24"/>
          <w:szCs w:val="24"/>
        </w:rPr>
        <w:t>Q.</w:t>
      </w:r>
      <w:r w:rsidRPr="00F23187">
        <w:rPr>
          <w:b/>
          <w:sz w:val="24"/>
          <w:szCs w:val="24"/>
        </w:rPr>
        <w:tab/>
        <w:t>How do you recommend that each function’s assigned share of UEDIT be returned to customers?</w:t>
      </w:r>
    </w:p>
    <w:p w:rsidR="008117C6" w:rsidRDefault="00F23187" w:rsidP="00F23187">
      <w:pPr>
        <w:spacing w:line="480" w:lineRule="auto"/>
        <w:ind w:left="720" w:hanging="720"/>
        <w:jc w:val="both"/>
        <w:rPr>
          <w:sz w:val="24"/>
          <w:szCs w:val="24"/>
        </w:rPr>
      </w:pPr>
      <w:r>
        <w:rPr>
          <w:sz w:val="24"/>
          <w:szCs w:val="24"/>
        </w:rPr>
        <w:t>A.</w:t>
      </w:r>
      <w:r>
        <w:rPr>
          <w:sz w:val="24"/>
          <w:szCs w:val="24"/>
        </w:rPr>
        <w:tab/>
      </w:r>
      <w:r w:rsidR="00F14339">
        <w:rPr>
          <w:sz w:val="24"/>
          <w:szCs w:val="24"/>
        </w:rPr>
        <w:t>W</w:t>
      </w:r>
      <w:r w:rsidR="000D6EB0">
        <w:rPr>
          <w:sz w:val="24"/>
          <w:szCs w:val="24"/>
        </w:rPr>
        <w:t xml:space="preserve">ith respect to the retail portion, I accept the Company’s proposal to </w:t>
      </w:r>
      <w:r w:rsidR="008117C6">
        <w:rPr>
          <w:sz w:val="24"/>
          <w:szCs w:val="24"/>
        </w:rPr>
        <w:t>refund</w:t>
      </w:r>
      <w:r w:rsidR="000D6EB0">
        <w:rPr>
          <w:sz w:val="24"/>
          <w:szCs w:val="24"/>
        </w:rPr>
        <w:t xml:space="preserve"> the amounts under Rider UEDIT.</w:t>
      </w:r>
    </w:p>
    <w:p w:rsidR="00F334D7" w:rsidRDefault="008117C6" w:rsidP="00F9466A">
      <w:pPr>
        <w:spacing w:line="480" w:lineRule="auto"/>
        <w:ind w:left="720" w:hanging="720"/>
        <w:jc w:val="both"/>
        <w:rPr>
          <w:sz w:val="24"/>
          <w:szCs w:val="24"/>
        </w:rPr>
      </w:pPr>
      <w:r>
        <w:rPr>
          <w:sz w:val="24"/>
          <w:szCs w:val="24"/>
        </w:rPr>
        <w:lastRenderedPageBreak/>
        <w:tab/>
      </w:r>
      <w:r>
        <w:rPr>
          <w:sz w:val="24"/>
          <w:szCs w:val="24"/>
        </w:rPr>
        <w:tab/>
      </w:r>
      <w:r w:rsidR="000D6EB0">
        <w:rPr>
          <w:sz w:val="24"/>
          <w:szCs w:val="24"/>
        </w:rPr>
        <w:t xml:space="preserve">With respect to the wholesale portion, I recommend </w:t>
      </w:r>
      <w:r w:rsidR="000D6EB0" w:rsidRPr="000D6EB0">
        <w:rPr>
          <w:sz w:val="24"/>
          <w:szCs w:val="24"/>
        </w:rPr>
        <w:t xml:space="preserve">that </w:t>
      </w:r>
      <w:r w:rsidRPr="000D6EB0">
        <w:rPr>
          <w:sz w:val="24"/>
          <w:szCs w:val="24"/>
        </w:rPr>
        <w:t xml:space="preserve">the Company </w:t>
      </w:r>
      <w:r w:rsidR="000D6EB0" w:rsidRPr="000D6EB0">
        <w:rPr>
          <w:sz w:val="24"/>
          <w:szCs w:val="24"/>
        </w:rPr>
        <w:t xml:space="preserve">be ordered to create a new wholesale </w:t>
      </w:r>
      <w:r w:rsidR="006A6028">
        <w:rPr>
          <w:sz w:val="24"/>
          <w:szCs w:val="24"/>
        </w:rPr>
        <w:t xml:space="preserve">transmission service </w:t>
      </w:r>
      <w:r w:rsidR="000D6EB0" w:rsidRPr="000D6EB0">
        <w:rPr>
          <w:sz w:val="24"/>
          <w:szCs w:val="24"/>
        </w:rPr>
        <w:t xml:space="preserve">rate rider </w:t>
      </w:r>
      <w:r w:rsidR="00EE7FE4">
        <w:rPr>
          <w:sz w:val="24"/>
          <w:szCs w:val="24"/>
        </w:rPr>
        <w:t xml:space="preserve">with a refund period of one year </w:t>
      </w:r>
      <w:r w:rsidR="000D6EB0" w:rsidRPr="000D6EB0">
        <w:rPr>
          <w:sz w:val="24"/>
          <w:szCs w:val="24"/>
        </w:rPr>
        <w:t>and include the rider</w:t>
      </w:r>
      <w:r w:rsidRPr="000D6EB0">
        <w:rPr>
          <w:sz w:val="24"/>
          <w:szCs w:val="24"/>
        </w:rPr>
        <w:t xml:space="preserve"> in its compliance tariff filing </w:t>
      </w:r>
      <w:r w:rsidR="00850756" w:rsidRPr="000D6EB0">
        <w:rPr>
          <w:sz w:val="24"/>
          <w:szCs w:val="24"/>
        </w:rPr>
        <w:t>to be reviewed by the Commission in the compliance phase.</w:t>
      </w:r>
    </w:p>
    <w:p w:rsidR="00C02D71" w:rsidRPr="00F9466A" w:rsidRDefault="00C02D71" w:rsidP="00C02D71">
      <w:pPr>
        <w:suppressLineNumbers/>
        <w:spacing w:line="480" w:lineRule="auto"/>
        <w:ind w:left="720" w:hanging="720"/>
        <w:jc w:val="both"/>
        <w:rPr>
          <w:sz w:val="24"/>
          <w:szCs w:val="24"/>
        </w:rPr>
      </w:pPr>
    </w:p>
    <w:p w:rsidR="00695E65" w:rsidRPr="00721D5B" w:rsidRDefault="00721D5B" w:rsidP="003551CC">
      <w:pPr>
        <w:pStyle w:val="Heading1"/>
        <w:numPr>
          <w:ilvl w:val="0"/>
          <w:numId w:val="1"/>
        </w:numPr>
        <w:spacing w:line="480" w:lineRule="auto"/>
        <w:jc w:val="both"/>
        <w:rPr>
          <w:sz w:val="24"/>
          <w:szCs w:val="24"/>
        </w:rPr>
      </w:pPr>
      <w:bookmarkStart w:id="29" w:name="_Toc11215217"/>
      <w:r>
        <w:rPr>
          <w:sz w:val="24"/>
          <w:szCs w:val="24"/>
        </w:rPr>
        <w:t>TRUE-UP OF INTERIM RATE RECOVERY</w:t>
      </w:r>
      <w:bookmarkEnd w:id="29"/>
    </w:p>
    <w:p w:rsidR="00FA301B" w:rsidRDefault="00FA301B" w:rsidP="00FA301B">
      <w:pPr>
        <w:spacing w:line="480" w:lineRule="auto"/>
        <w:ind w:left="720" w:hanging="720"/>
        <w:jc w:val="both"/>
        <w:rPr>
          <w:b/>
          <w:sz w:val="24"/>
          <w:szCs w:val="24"/>
        </w:rPr>
      </w:pPr>
      <w:r>
        <w:rPr>
          <w:b/>
          <w:sz w:val="24"/>
          <w:szCs w:val="24"/>
        </w:rPr>
        <w:t>Q.</w:t>
      </w:r>
      <w:r>
        <w:rPr>
          <w:b/>
          <w:sz w:val="24"/>
          <w:szCs w:val="24"/>
        </w:rPr>
        <w:tab/>
        <w:t xml:space="preserve">What cost recovery mechanisms are available to </w:t>
      </w:r>
      <w:r w:rsidR="00C8262C">
        <w:rPr>
          <w:b/>
          <w:sz w:val="24"/>
          <w:szCs w:val="24"/>
        </w:rPr>
        <w:t>CEHE</w:t>
      </w:r>
      <w:r>
        <w:rPr>
          <w:b/>
          <w:sz w:val="24"/>
          <w:szCs w:val="24"/>
        </w:rPr>
        <w:t xml:space="preserve"> </w:t>
      </w:r>
      <w:r w:rsidR="0086204B">
        <w:rPr>
          <w:b/>
          <w:sz w:val="24"/>
          <w:szCs w:val="24"/>
        </w:rPr>
        <w:t xml:space="preserve">to </w:t>
      </w:r>
      <w:r>
        <w:rPr>
          <w:b/>
          <w:sz w:val="24"/>
          <w:szCs w:val="24"/>
        </w:rPr>
        <w:t>recover the costs of plant investments?</w:t>
      </w:r>
    </w:p>
    <w:p w:rsidR="00D31C37" w:rsidRDefault="00FA301B" w:rsidP="00FA301B">
      <w:pPr>
        <w:spacing w:line="480" w:lineRule="auto"/>
        <w:ind w:left="720" w:hanging="720"/>
        <w:jc w:val="both"/>
        <w:rPr>
          <w:sz w:val="24"/>
          <w:szCs w:val="24"/>
        </w:rPr>
      </w:pPr>
      <w:r w:rsidRPr="00FA301B">
        <w:rPr>
          <w:sz w:val="24"/>
          <w:szCs w:val="24"/>
        </w:rPr>
        <w:t>A.</w:t>
      </w:r>
      <w:r w:rsidRPr="00FA301B">
        <w:rPr>
          <w:sz w:val="24"/>
          <w:szCs w:val="24"/>
        </w:rPr>
        <w:tab/>
      </w:r>
      <w:r w:rsidR="00D31C37">
        <w:rPr>
          <w:sz w:val="24"/>
          <w:szCs w:val="24"/>
        </w:rPr>
        <w:t>P</w:t>
      </w:r>
      <w:r>
        <w:rPr>
          <w:sz w:val="24"/>
          <w:szCs w:val="24"/>
        </w:rPr>
        <w:t xml:space="preserve">lant investments </w:t>
      </w:r>
      <w:r w:rsidR="00D31C37">
        <w:rPr>
          <w:sz w:val="24"/>
          <w:szCs w:val="24"/>
        </w:rPr>
        <w:t>may</w:t>
      </w:r>
      <w:r>
        <w:rPr>
          <w:sz w:val="24"/>
          <w:szCs w:val="24"/>
        </w:rPr>
        <w:t xml:space="preserve"> be included in the Company’s </w:t>
      </w:r>
      <w:r w:rsidR="00D31C37">
        <w:rPr>
          <w:sz w:val="24"/>
          <w:szCs w:val="24"/>
        </w:rPr>
        <w:t xml:space="preserve">requested </w:t>
      </w:r>
      <w:r>
        <w:rPr>
          <w:sz w:val="24"/>
          <w:szCs w:val="24"/>
        </w:rPr>
        <w:t>rate base in a base-rate proceeding.  Additionally, between base-rate proceedings the Company can request that transmission-related investments be included in interim updates of the Company’s TCOS (Interim TCOS), and distribution-related costs can be included in a distribution cost recovery factor (DCRF)</w:t>
      </w:r>
      <w:r w:rsidR="00D31C37">
        <w:rPr>
          <w:sz w:val="24"/>
          <w:szCs w:val="24"/>
        </w:rPr>
        <w:t xml:space="preserve"> update</w:t>
      </w:r>
      <w:r>
        <w:rPr>
          <w:sz w:val="24"/>
          <w:szCs w:val="24"/>
        </w:rPr>
        <w:t xml:space="preserve">.  </w:t>
      </w:r>
    </w:p>
    <w:p w:rsidR="00FA301B" w:rsidRPr="00FA301B" w:rsidRDefault="00FA301B" w:rsidP="00D31C37">
      <w:pPr>
        <w:spacing w:line="480" w:lineRule="auto"/>
        <w:ind w:left="720" w:firstLine="720"/>
        <w:jc w:val="both"/>
        <w:rPr>
          <w:sz w:val="24"/>
          <w:szCs w:val="24"/>
        </w:rPr>
      </w:pPr>
      <w:r>
        <w:rPr>
          <w:sz w:val="24"/>
          <w:szCs w:val="24"/>
        </w:rPr>
        <w:t xml:space="preserve">The interim TCOS and the DCRF are both interim </w:t>
      </w:r>
      <w:r w:rsidR="00634973">
        <w:rPr>
          <w:sz w:val="24"/>
          <w:szCs w:val="24"/>
        </w:rPr>
        <w:t xml:space="preserve">updates that reserve </w:t>
      </w:r>
      <w:r>
        <w:rPr>
          <w:sz w:val="24"/>
          <w:szCs w:val="24"/>
        </w:rPr>
        <w:t>reasonableness and prudence</w:t>
      </w:r>
      <w:r w:rsidR="00634973">
        <w:rPr>
          <w:sz w:val="24"/>
          <w:szCs w:val="24"/>
        </w:rPr>
        <w:t xml:space="preserve"> determinations </w:t>
      </w:r>
      <w:r w:rsidR="00F92217">
        <w:rPr>
          <w:sz w:val="24"/>
          <w:szCs w:val="24"/>
        </w:rPr>
        <w:t>for plant investments until</w:t>
      </w:r>
      <w:r>
        <w:rPr>
          <w:sz w:val="24"/>
          <w:szCs w:val="24"/>
        </w:rPr>
        <w:t xml:space="preserve"> the next base-rate proceeding.</w:t>
      </w:r>
    </w:p>
    <w:p w:rsidR="00695E65" w:rsidRDefault="00FA301B" w:rsidP="00FA301B">
      <w:pPr>
        <w:spacing w:line="480" w:lineRule="auto"/>
        <w:ind w:left="720" w:hanging="720"/>
        <w:jc w:val="both"/>
        <w:rPr>
          <w:b/>
          <w:sz w:val="24"/>
          <w:szCs w:val="24"/>
        </w:rPr>
      </w:pPr>
      <w:r>
        <w:rPr>
          <w:b/>
          <w:sz w:val="24"/>
          <w:szCs w:val="24"/>
        </w:rPr>
        <w:t>Q.</w:t>
      </w:r>
      <w:r>
        <w:rPr>
          <w:b/>
          <w:sz w:val="24"/>
          <w:szCs w:val="24"/>
        </w:rPr>
        <w:tab/>
        <w:t xml:space="preserve">Does Staff recommend any disallowances associated with plant investments that </w:t>
      </w:r>
      <w:r w:rsidR="00C8262C">
        <w:rPr>
          <w:b/>
          <w:sz w:val="24"/>
          <w:szCs w:val="24"/>
        </w:rPr>
        <w:t>CEHE</w:t>
      </w:r>
      <w:r>
        <w:rPr>
          <w:b/>
          <w:sz w:val="24"/>
          <w:szCs w:val="24"/>
        </w:rPr>
        <w:t xml:space="preserve"> made during the ten-year period since its last base-rate case?</w:t>
      </w:r>
    </w:p>
    <w:p w:rsidR="00695E65" w:rsidRPr="00FA301B" w:rsidRDefault="00FA301B" w:rsidP="00FA301B">
      <w:pPr>
        <w:spacing w:line="480" w:lineRule="auto"/>
        <w:ind w:left="720" w:hanging="720"/>
        <w:jc w:val="both"/>
        <w:rPr>
          <w:sz w:val="24"/>
          <w:szCs w:val="24"/>
        </w:rPr>
      </w:pPr>
      <w:r w:rsidRPr="00FA301B">
        <w:rPr>
          <w:sz w:val="24"/>
          <w:szCs w:val="24"/>
        </w:rPr>
        <w:t>A.</w:t>
      </w:r>
      <w:r w:rsidRPr="00FA301B">
        <w:rPr>
          <w:sz w:val="24"/>
          <w:szCs w:val="24"/>
        </w:rPr>
        <w:tab/>
      </w:r>
      <w:r>
        <w:rPr>
          <w:sz w:val="24"/>
          <w:szCs w:val="24"/>
        </w:rPr>
        <w:t xml:space="preserve">Yes.  </w:t>
      </w:r>
      <w:r w:rsidR="00AF41AB">
        <w:rPr>
          <w:sz w:val="24"/>
          <w:szCs w:val="24"/>
        </w:rPr>
        <w:t xml:space="preserve">For example, </w:t>
      </w:r>
      <w:r>
        <w:rPr>
          <w:sz w:val="24"/>
          <w:szCs w:val="24"/>
        </w:rPr>
        <w:t>Staff witnesses Ianni and Sweatman recommend disallowance</w:t>
      </w:r>
      <w:r w:rsidR="00EE5A35">
        <w:rPr>
          <w:sz w:val="24"/>
          <w:szCs w:val="24"/>
        </w:rPr>
        <w:t xml:space="preserve"> of certain plant investments</w:t>
      </w:r>
      <w:r w:rsidR="00EE5A35" w:rsidRPr="002469B8">
        <w:rPr>
          <w:sz w:val="24"/>
          <w:szCs w:val="24"/>
        </w:rPr>
        <w:t>.</w:t>
      </w:r>
      <w:r w:rsidR="00B70CCF" w:rsidRPr="002469B8">
        <w:rPr>
          <w:sz w:val="24"/>
          <w:szCs w:val="24"/>
        </w:rPr>
        <w:t xml:space="preserve">  </w:t>
      </w:r>
      <w:r w:rsidR="00AF41AB">
        <w:rPr>
          <w:sz w:val="24"/>
          <w:szCs w:val="24"/>
        </w:rPr>
        <w:t>W</w:t>
      </w:r>
      <w:r w:rsidR="002469B8">
        <w:rPr>
          <w:sz w:val="24"/>
          <w:szCs w:val="24"/>
        </w:rPr>
        <w:t xml:space="preserve">itness Karl </w:t>
      </w:r>
      <w:r w:rsidR="002469B8">
        <w:rPr>
          <w:sz w:val="24"/>
          <w:szCs w:val="24"/>
        </w:rPr>
        <w:lastRenderedPageBreak/>
        <w:t xml:space="preserve">Nalepa, appearing on behalf of the Office of Public Utility Counsel, also recommends </w:t>
      </w:r>
      <w:r w:rsidR="00354D40">
        <w:rPr>
          <w:sz w:val="24"/>
          <w:szCs w:val="24"/>
        </w:rPr>
        <w:t xml:space="preserve">certain </w:t>
      </w:r>
      <w:r w:rsidR="002469B8">
        <w:rPr>
          <w:sz w:val="24"/>
          <w:szCs w:val="24"/>
        </w:rPr>
        <w:t>plant disallowances.</w:t>
      </w:r>
      <w:r w:rsidR="002469B8">
        <w:rPr>
          <w:rStyle w:val="FootnoteReference"/>
          <w:sz w:val="24"/>
          <w:szCs w:val="24"/>
        </w:rPr>
        <w:footnoteReference w:id="133"/>
      </w:r>
    </w:p>
    <w:p w:rsidR="00695E65" w:rsidRDefault="00497213" w:rsidP="00497213">
      <w:pPr>
        <w:spacing w:line="480" w:lineRule="auto"/>
        <w:ind w:left="720" w:hanging="720"/>
        <w:jc w:val="both"/>
        <w:rPr>
          <w:b/>
          <w:sz w:val="24"/>
          <w:szCs w:val="24"/>
        </w:rPr>
      </w:pPr>
      <w:r>
        <w:rPr>
          <w:b/>
          <w:sz w:val="24"/>
          <w:szCs w:val="24"/>
        </w:rPr>
        <w:t>Q.</w:t>
      </w:r>
      <w:r>
        <w:rPr>
          <w:b/>
          <w:sz w:val="24"/>
          <w:szCs w:val="24"/>
        </w:rPr>
        <w:tab/>
        <w:t>Were any costs associated with the disallowed plant included in the Company’s interim TCOS or DCRF rates?</w:t>
      </w:r>
    </w:p>
    <w:p w:rsidR="00497213" w:rsidRDefault="00497213" w:rsidP="00880640">
      <w:pPr>
        <w:spacing w:line="480" w:lineRule="auto"/>
        <w:ind w:left="720" w:hanging="720"/>
        <w:rPr>
          <w:sz w:val="24"/>
          <w:szCs w:val="24"/>
        </w:rPr>
      </w:pPr>
      <w:r w:rsidRPr="00354D40">
        <w:rPr>
          <w:sz w:val="24"/>
          <w:szCs w:val="24"/>
        </w:rPr>
        <w:t>A.</w:t>
      </w:r>
      <w:r w:rsidRPr="00354D40">
        <w:rPr>
          <w:sz w:val="24"/>
          <w:szCs w:val="24"/>
        </w:rPr>
        <w:tab/>
      </w:r>
      <w:r w:rsidR="00354D40">
        <w:rPr>
          <w:sz w:val="24"/>
          <w:szCs w:val="24"/>
        </w:rPr>
        <w:t>Unknown</w:t>
      </w:r>
      <w:r w:rsidR="00354D40" w:rsidRPr="00354D40">
        <w:rPr>
          <w:sz w:val="24"/>
          <w:szCs w:val="24"/>
        </w:rPr>
        <w:t>.</w:t>
      </w:r>
    </w:p>
    <w:p w:rsidR="00140B2E" w:rsidRDefault="00140B2E" w:rsidP="00140B2E">
      <w:pPr>
        <w:suppressLineNumbers/>
        <w:spacing w:line="480" w:lineRule="auto"/>
        <w:ind w:left="720" w:hanging="720"/>
        <w:jc w:val="both"/>
        <w:rPr>
          <w:b/>
          <w:sz w:val="24"/>
          <w:szCs w:val="24"/>
        </w:rPr>
      </w:pPr>
    </w:p>
    <w:p w:rsidR="00306F72" w:rsidRDefault="00147A04" w:rsidP="00147A04">
      <w:pPr>
        <w:spacing w:line="480" w:lineRule="auto"/>
        <w:ind w:left="720" w:hanging="720"/>
        <w:jc w:val="both"/>
        <w:rPr>
          <w:b/>
          <w:sz w:val="24"/>
          <w:szCs w:val="24"/>
        </w:rPr>
      </w:pPr>
      <w:r w:rsidRPr="00147A04">
        <w:rPr>
          <w:b/>
          <w:sz w:val="24"/>
          <w:szCs w:val="24"/>
        </w:rPr>
        <w:t>Q.</w:t>
      </w:r>
      <w:r w:rsidRPr="00147A04">
        <w:rPr>
          <w:b/>
          <w:sz w:val="24"/>
          <w:szCs w:val="24"/>
        </w:rPr>
        <w:tab/>
      </w:r>
      <w:r>
        <w:rPr>
          <w:b/>
          <w:sz w:val="24"/>
          <w:szCs w:val="24"/>
        </w:rPr>
        <w:t xml:space="preserve">In the event the Commission adopts the recommendations </w:t>
      </w:r>
      <w:r w:rsidR="00D31C37">
        <w:rPr>
          <w:b/>
          <w:sz w:val="24"/>
          <w:szCs w:val="24"/>
        </w:rPr>
        <w:t xml:space="preserve">of Staff and other parties </w:t>
      </w:r>
      <w:r>
        <w:rPr>
          <w:b/>
          <w:sz w:val="24"/>
          <w:szCs w:val="24"/>
        </w:rPr>
        <w:t xml:space="preserve">regarding plant disallowances, are there any issues that arise with respect to the amounts the Company has </w:t>
      </w:r>
      <w:r w:rsidR="00D31C37">
        <w:rPr>
          <w:b/>
          <w:sz w:val="24"/>
          <w:szCs w:val="24"/>
        </w:rPr>
        <w:t xml:space="preserve">already </w:t>
      </w:r>
      <w:r>
        <w:rPr>
          <w:b/>
          <w:sz w:val="24"/>
          <w:szCs w:val="24"/>
        </w:rPr>
        <w:t>recovered under interim rates?</w:t>
      </w:r>
      <w:r w:rsidR="00897290">
        <w:rPr>
          <w:b/>
          <w:sz w:val="24"/>
          <w:szCs w:val="24"/>
        </w:rPr>
        <w:t xml:space="preserve">   </w:t>
      </w:r>
    </w:p>
    <w:p w:rsidR="00DD5478" w:rsidRDefault="006863E0" w:rsidP="0089474D">
      <w:pPr>
        <w:spacing w:line="480" w:lineRule="auto"/>
        <w:ind w:left="720" w:hanging="720"/>
        <w:jc w:val="both"/>
        <w:rPr>
          <w:sz w:val="24"/>
          <w:szCs w:val="24"/>
        </w:rPr>
      </w:pPr>
      <w:r>
        <w:rPr>
          <w:sz w:val="24"/>
          <w:szCs w:val="24"/>
        </w:rPr>
        <w:t>A.</w:t>
      </w:r>
      <w:r>
        <w:rPr>
          <w:sz w:val="24"/>
          <w:szCs w:val="24"/>
        </w:rPr>
        <w:tab/>
        <w:t xml:space="preserve">Yes.  </w:t>
      </w:r>
      <w:r w:rsidR="0060068E">
        <w:rPr>
          <w:sz w:val="24"/>
          <w:szCs w:val="24"/>
        </w:rPr>
        <w:t>R</w:t>
      </w:r>
      <w:r w:rsidR="00D5194C">
        <w:rPr>
          <w:sz w:val="24"/>
          <w:szCs w:val="24"/>
        </w:rPr>
        <w:t xml:space="preserve">egarding interim updates of transmission rates, </w:t>
      </w:r>
      <w:r w:rsidR="0060068E">
        <w:rPr>
          <w:sz w:val="24"/>
          <w:szCs w:val="24"/>
        </w:rPr>
        <w:t xml:space="preserve">16 TAC § 25.192(h)(2) </w:t>
      </w:r>
      <w:r w:rsidR="00EF76FF">
        <w:rPr>
          <w:sz w:val="24"/>
          <w:szCs w:val="24"/>
        </w:rPr>
        <w:t>provides:</w:t>
      </w:r>
    </w:p>
    <w:p w:rsidR="00EF76FF" w:rsidRPr="00EF76FF" w:rsidRDefault="00EF76FF" w:rsidP="00EF76FF">
      <w:pPr>
        <w:ind w:left="1440" w:right="720"/>
        <w:jc w:val="both"/>
        <w:rPr>
          <w:sz w:val="24"/>
          <w:szCs w:val="24"/>
        </w:rPr>
      </w:pPr>
      <w:r w:rsidRPr="00EF76FF">
        <w:rPr>
          <w:sz w:val="24"/>
          <w:szCs w:val="24"/>
        </w:rPr>
        <w:t xml:space="preserve">Reconciliation. An update of transmission rates under paragraph (1) of this subsection </w:t>
      </w:r>
      <w:r w:rsidR="00D5194C">
        <w:rPr>
          <w:sz w:val="24"/>
          <w:szCs w:val="24"/>
        </w:rPr>
        <w:t xml:space="preserve">1 </w:t>
      </w:r>
      <w:r w:rsidRPr="00EF76FF">
        <w:rPr>
          <w:sz w:val="24"/>
          <w:szCs w:val="24"/>
        </w:rPr>
        <w:t xml:space="preserve">shall be subject to reconciliation at the next complete review of the TSP’s transmission cost of service, at which time the commission shall review the costs of the interim transmission plant additions to determine if they were reasonable and necessary. Any amounts resulting from an update that are found to have been unreasonable or unnecessary, plus the corresponding return and taxes, shall be refunded with carrying costs determined as follows: for the time period beginning with the date on which over-recovery is determined to have begun to the effective date of the TSP’s rates set in that complete review of the TSP’s transmission cost of service, carrying costs shall be calculated using the same rate of return that was applied to the transmission investments included in the update. For the time period beginning with the effective date of the TSP’s rates set in that complete </w:t>
      </w:r>
      <w:r w:rsidRPr="00EF76FF">
        <w:rPr>
          <w:sz w:val="24"/>
          <w:szCs w:val="24"/>
        </w:rPr>
        <w:lastRenderedPageBreak/>
        <w:t>review of the TSP’s transmission cost of service, carrying costs shall be calculated using the TSP’s rate of return authorized in that complete review.</w:t>
      </w:r>
    </w:p>
    <w:p w:rsidR="00EF76FF" w:rsidRDefault="00EF76FF" w:rsidP="00EF76FF">
      <w:pPr>
        <w:ind w:left="720" w:hanging="720"/>
        <w:jc w:val="both"/>
        <w:rPr>
          <w:sz w:val="24"/>
          <w:szCs w:val="24"/>
        </w:rPr>
      </w:pPr>
    </w:p>
    <w:p w:rsidR="00F60385" w:rsidRDefault="00F60385" w:rsidP="00897290">
      <w:pPr>
        <w:spacing w:line="480" w:lineRule="auto"/>
        <w:ind w:left="720" w:firstLine="720"/>
        <w:jc w:val="both"/>
        <w:rPr>
          <w:sz w:val="24"/>
          <w:szCs w:val="24"/>
        </w:rPr>
      </w:pPr>
      <w:r>
        <w:rPr>
          <w:sz w:val="24"/>
          <w:szCs w:val="24"/>
        </w:rPr>
        <w:t>Regarding interim updates of distribution rates, 16 TAC § 25.</w:t>
      </w:r>
      <w:r w:rsidR="00C467B0">
        <w:rPr>
          <w:sz w:val="24"/>
          <w:szCs w:val="24"/>
        </w:rPr>
        <w:t>243</w:t>
      </w:r>
      <w:r>
        <w:rPr>
          <w:sz w:val="24"/>
          <w:szCs w:val="24"/>
        </w:rPr>
        <w:t>(</w:t>
      </w:r>
      <w:r w:rsidR="00C467B0">
        <w:rPr>
          <w:sz w:val="24"/>
          <w:szCs w:val="24"/>
        </w:rPr>
        <w:t>f) provides:</w:t>
      </w:r>
    </w:p>
    <w:p w:rsidR="00F60385" w:rsidRDefault="00C467B0" w:rsidP="00C467B0">
      <w:pPr>
        <w:ind w:left="1440" w:right="720"/>
        <w:jc w:val="both"/>
        <w:rPr>
          <w:sz w:val="24"/>
          <w:szCs w:val="24"/>
        </w:rPr>
      </w:pPr>
      <w:r w:rsidRPr="00C467B0">
        <w:rPr>
          <w:sz w:val="24"/>
          <w:szCs w:val="24"/>
        </w:rPr>
        <w:t>DCRF reconciliation. The commission shall reconcile investments recovered through a DCRF in the electric utility’s next comprehensive base-rate proceeding to the extent such reconciliation did not already occur in a DCRF proceeding pursuant to subsection (e)(5) of this section. The reconciliation shall be limited to the issues of the extent to which the investments complied with PURA, including §36.053 and §36.058, and this section and were prudent, reasonable, and necessary. To the extent that the commission determines that the investments did not comply with PURA and this section or were not prudent, reasonable, and necessary, the electric utility shall refund all revenues related to the investments that it improperly recovered through rates, and shall also pay its customers carrying charges on these revenues. The carrying charges shall be determined as follows: For the time period beginning with the date on which over-recovery is determined to have begun to the effective date of the new base rates, carrying costs shall be calculated using the same rate of return that was applied to the investments in the DCRF proceedings that resulted in the over-recovery. For the time period beginning with the effective date of the new base rates, carrying costs shall be calculated using the electric utility’s rate of return authorized in the comprehensive base-rate proceeding.</w:t>
      </w:r>
    </w:p>
    <w:p w:rsidR="00C467B0" w:rsidRDefault="00C467B0" w:rsidP="00C467B0">
      <w:pPr>
        <w:ind w:left="1440" w:right="720"/>
        <w:jc w:val="both"/>
        <w:rPr>
          <w:sz w:val="24"/>
          <w:szCs w:val="24"/>
        </w:rPr>
      </w:pPr>
    </w:p>
    <w:p w:rsidR="00147A04" w:rsidRDefault="00147A04" w:rsidP="00897290">
      <w:pPr>
        <w:spacing w:line="480" w:lineRule="auto"/>
        <w:ind w:left="720" w:firstLine="720"/>
        <w:jc w:val="both"/>
        <w:rPr>
          <w:sz w:val="24"/>
          <w:szCs w:val="24"/>
        </w:rPr>
      </w:pPr>
      <w:r>
        <w:rPr>
          <w:sz w:val="24"/>
          <w:szCs w:val="24"/>
        </w:rPr>
        <w:t xml:space="preserve">If plant that was included in an interim TCOS </w:t>
      </w:r>
      <w:r w:rsidR="00BB5C1A">
        <w:rPr>
          <w:sz w:val="24"/>
          <w:szCs w:val="24"/>
        </w:rPr>
        <w:t xml:space="preserve">or DCRF </w:t>
      </w:r>
      <w:r>
        <w:rPr>
          <w:sz w:val="24"/>
          <w:szCs w:val="24"/>
        </w:rPr>
        <w:t xml:space="preserve">is disallowed, it is necessary to perform an inquiry into </w:t>
      </w:r>
      <w:r w:rsidR="0089474D">
        <w:rPr>
          <w:sz w:val="24"/>
          <w:szCs w:val="24"/>
        </w:rPr>
        <w:t xml:space="preserve">whether any costs of the plant have been recovered </w:t>
      </w:r>
      <w:r>
        <w:rPr>
          <w:sz w:val="24"/>
          <w:szCs w:val="24"/>
        </w:rPr>
        <w:t xml:space="preserve">under </w:t>
      </w:r>
      <w:r w:rsidR="000139A3">
        <w:rPr>
          <w:sz w:val="24"/>
          <w:szCs w:val="24"/>
        </w:rPr>
        <w:t xml:space="preserve">the Company’s </w:t>
      </w:r>
      <w:r>
        <w:rPr>
          <w:sz w:val="24"/>
          <w:szCs w:val="24"/>
        </w:rPr>
        <w:t xml:space="preserve">interim rates.  </w:t>
      </w:r>
      <w:r w:rsidR="000139A3">
        <w:rPr>
          <w:sz w:val="24"/>
          <w:szCs w:val="24"/>
        </w:rPr>
        <w:t>As part of</w:t>
      </w:r>
      <w:r w:rsidR="00F91BA2">
        <w:rPr>
          <w:sz w:val="24"/>
          <w:szCs w:val="24"/>
        </w:rPr>
        <w:t xml:space="preserve"> the true-up, t</w:t>
      </w:r>
      <w:r>
        <w:rPr>
          <w:sz w:val="24"/>
          <w:szCs w:val="24"/>
        </w:rPr>
        <w:t xml:space="preserve">he over-recovery will need </w:t>
      </w:r>
      <w:r>
        <w:rPr>
          <w:sz w:val="24"/>
          <w:szCs w:val="24"/>
        </w:rPr>
        <w:lastRenderedPageBreak/>
        <w:t xml:space="preserve">to be precisely quantified and </w:t>
      </w:r>
      <w:r w:rsidR="00F91BA2">
        <w:rPr>
          <w:sz w:val="24"/>
          <w:szCs w:val="24"/>
        </w:rPr>
        <w:t xml:space="preserve">rates set to </w:t>
      </w:r>
      <w:r>
        <w:rPr>
          <w:sz w:val="24"/>
          <w:szCs w:val="24"/>
        </w:rPr>
        <w:t>r</w:t>
      </w:r>
      <w:r w:rsidR="00F91BA2">
        <w:rPr>
          <w:sz w:val="24"/>
          <w:szCs w:val="24"/>
        </w:rPr>
        <w:t>efund over-collections</w:t>
      </w:r>
      <w:r>
        <w:rPr>
          <w:sz w:val="24"/>
          <w:szCs w:val="24"/>
        </w:rPr>
        <w:t xml:space="preserve"> to ratepayers</w:t>
      </w:r>
      <w:r w:rsidR="002C7B08">
        <w:rPr>
          <w:sz w:val="24"/>
          <w:szCs w:val="24"/>
        </w:rPr>
        <w:t>.</w:t>
      </w:r>
    </w:p>
    <w:p w:rsidR="00530E7D" w:rsidRPr="00530E7D" w:rsidRDefault="00530E7D" w:rsidP="00147A04">
      <w:pPr>
        <w:spacing w:line="480" w:lineRule="auto"/>
        <w:ind w:left="720" w:hanging="720"/>
        <w:jc w:val="both"/>
        <w:rPr>
          <w:b/>
          <w:sz w:val="24"/>
          <w:szCs w:val="24"/>
        </w:rPr>
      </w:pPr>
      <w:r w:rsidRPr="00530E7D">
        <w:rPr>
          <w:b/>
          <w:sz w:val="24"/>
          <w:szCs w:val="24"/>
        </w:rPr>
        <w:t>Q.</w:t>
      </w:r>
      <w:r w:rsidRPr="00530E7D">
        <w:rPr>
          <w:b/>
          <w:sz w:val="24"/>
          <w:szCs w:val="24"/>
        </w:rPr>
        <w:tab/>
        <w:t xml:space="preserve">Could the true-up be accomplished in the compliance tariff </w:t>
      </w:r>
      <w:r w:rsidR="00073B1C">
        <w:rPr>
          <w:b/>
          <w:sz w:val="24"/>
          <w:szCs w:val="24"/>
        </w:rPr>
        <w:t>phase of</w:t>
      </w:r>
      <w:r w:rsidRPr="00530E7D">
        <w:rPr>
          <w:b/>
          <w:sz w:val="24"/>
          <w:szCs w:val="24"/>
        </w:rPr>
        <w:t xml:space="preserve"> this proceeding?</w:t>
      </w:r>
    </w:p>
    <w:p w:rsidR="00C02D71" w:rsidRDefault="009E2C0B" w:rsidP="00A323F4">
      <w:pPr>
        <w:spacing w:line="480" w:lineRule="auto"/>
        <w:ind w:left="720" w:hanging="720"/>
        <w:jc w:val="both"/>
        <w:rPr>
          <w:b/>
          <w:sz w:val="24"/>
          <w:szCs w:val="24"/>
        </w:rPr>
      </w:pPr>
      <w:r>
        <w:rPr>
          <w:sz w:val="24"/>
          <w:szCs w:val="24"/>
        </w:rPr>
        <w:t>A.</w:t>
      </w:r>
      <w:r>
        <w:rPr>
          <w:sz w:val="24"/>
          <w:szCs w:val="24"/>
        </w:rPr>
        <w:tab/>
        <w:t xml:space="preserve">No.  </w:t>
      </w:r>
      <w:r w:rsidR="007B62A6">
        <w:rPr>
          <w:sz w:val="24"/>
          <w:szCs w:val="24"/>
        </w:rPr>
        <w:t xml:space="preserve">The true-up will require access to detailed plant records that are only in the </w:t>
      </w:r>
      <w:r w:rsidR="009010C1">
        <w:rPr>
          <w:sz w:val="24"/>
          <w:szCs w:val="24"/>
        </w:rPr>
        <w:t xml:space="preserve">Company’s </w:t>
      </w:r>
      <w:r w:rsidR="007B62A6">
        <w:rPr>
          <w:sz w:val="24"/>
          <w:szCs w:val="24"/>
        </w:rPr>
        <w:t xml:space="preserve">possession.  During the number-running process in support of the compliance filing, number-running Staff is limited in its ability to communicate with the Company and other parties.  Additionally, it will </w:t>
      </w:r>
      <w:r w:rsidR="00530E7D">
        <w:rPr>
          <w:sz w:val="24"/>
          <w:szCs w:val="24"/>
        </w:rPr>
        <w:t>req</w:t>
      </w:r>
      <w:r w:rsidR="007B62A6">
        <w:rPr>
          <w:sz w:val="24"/>
          <w:szCs w:val="24"/>
        </w:rPr>
        <w:t>uire</w:t>
      </w:r>
      <w:r w:rsidR="00371048">
        <w:rPr>
          <w:sz w:val="24"/>
          <w:szCs w:val="24"/>
        </w:rPr>
        <w:t xml:space="preserve"> time to develop a </w:t>
      </w:r>
      <w:r w:rsidR="00530E7D">
        <w:rPr>
          <w:sz w:val="24"/>
          <w:szCs w:val="24"/>
        </w:rPr>
        <w:t xml:space="preserve">methodology to perform the true-up.  </w:t>
      </w:r>
      <w:r w:rsidR="007B62A6">
        <w:rPr>
          <w:sz w:val="24"/>
          <w:szCs w:val="24"/>
        </w:rPr>
        <w:t>T</w:t>
      </w:r>
      <w:r w:rsidR="00530E7D">
        <w:rPr>
          <w:sz w:val="24"/>
          <w:szCs w:val="24"/>
        </w:rPr>
        <w:t xml:space="preserve">he </w:t>
      </w:r>
      <w:r w:rsidR="007B62A6">
        <w:rPr>
          <w:sz w:val="24"/>
          <w:szCs w:val="24"/>
        </w:rPr>
        <w:t xml:space="preserve">development of the </w:t>
      </w:r>
      <w:r w:rsidR="00530E7D">
        <w:rPr>
          <w:sz w:val="24"/>
          <w:szCs w:val="24"/>
        </w:rPr>
        <w:t xml:space="preserve">true-up methodology will </w:t>
      </w:r>
      <w:r w:rsidR="007B62A6">
        <w:rPr>
          <w:sz w:val="24"/>
          <w:szCs w:val="24"/>
        </w:rPr>
        <w:t>require</w:t>
      </w:r>
      <w:r w:rsidR="00530E7D">
        <w:rPr>
          <w:sz w:val="24"/>
          <w:szCs w:val="24"/>
        </w:rPr>
        <w:t xml:space="preserve"> the exercise of judgment of the type that parties normally have the </w:t>
      </w:r>
      <w:r w:rsidR="007B62A6">
        <w:rPr>
          <w:sz w:val="24"/>
          <w:szCs w:val="24"/>
        </w:rPr>
        <w:t>opportunity</w:t>
      </w:r>
      <w:r w:rsidR="00530E7D">
        <w:rPr>
          <w:sz w:val="24"/>
          <w:szCs w:val="24"/>
        </w:rPr>
        <w:t xml:space="preserve"> to review and </w:t>
      </w:r>
      <w:r w:rsidR="00073B1C">
        <w:rPr>
          <w:sz w:val="24"/>
          <w:szCs w:val="24"/>
        </w:rPr>
        <w:t>contest</w:t>
      </w:r>
      <w:r w:rsidR="00530E7D">
        <w:rPr>
          <w:sz w:val="24"/>
          <w:szCs w:val="24"/>
        </w:rPr>
        <w:t xml:space="preserve"> if necessary.  </w:t>
      </w:r>
      <w:r w:rsidR="007B62A6">
        <w:rPr>
          <w:sz w:val="24"/>
          <w:szCs w:val="24"/>
        </w:rPr>
        <w:t xml:space="preserve">For these reasons, it would not be </w:t>
      </w:r>
      <w:r w:rsidR="00B00C27">
        <w:rPr>
          <w:sz w:val="24"/>
          <w:szCs w:val="24"/>
        </w:rPr>
        <w:t>practicable</w:t>
      </w:r>
      <w:r w:rsidR="007B62A6">
        <w:rPr>
          <w:sz w:val="24"/>
          <w:szCs w:val="24"/>
        </w:rPr>
        <w:t xml:space="preserve"> to perform the true-up in the </w:t>
      </w:r>
      <w:r w:rsidR="004400AB">
        <w:rPr>
          <w:sz w:val="24"/>
          <w:szCs w:val="24"/>
        </w:rPr>
        <w:t xml:space="preserve">compliance </w:t>
      </w:r>
      <w:r w:rsidR="007B62A6">
        <w:rPr>
          <w:sz w:val="24"/>
          <w:szCs w:val="24"/>
        </w:rPr>
        <w:t>phase</w:t>
      </w:r>
      <w:r w:rsidR="00B00C27">
        <w:rPr>
          <w:sz w:val="24"/>
          <w:szCs w:val="24"/>
        </w:rPr>
        <w:t xml:space="preserve"> in this proceeding</w:t>
      </w:r>
      <w:r w:rsidR="007B62A6">
        <w:rPr>
          <w:sz w:val="24"/>
          <w:szCs w:val="24"/>
        </w:rPr>
        <w:t>.</w:t>
      </w:r>
    </w:p>
    <w:p w:rsidR="00140B2E" w:rsidRDefault="00140B2E" w:rsidP="00140B2E">
      <w:pPr>
        <w:suppressLineNumbers/>
        <w:spacing w:line="480" w:lineRule="auto"/>
        <w:ind w:left="720" w:hanging="720"/>
        <w:jc w:val="both"/>
        <w:rPr>
          <w:b/>
          <w:sz w:val="24"/>
          <w:szCs w:val="24"/>
        </w:rPr>
      </w:pPr>
    </w:p>
    <w:p w:rsidR="00140B2E" w:rsidRDefault="00140B2E" w:rsidP="00140B2E">
      <w:pPr>
        <w:suppressLineNumbers/>
        <w:spacing w:line="480" w:lineRule="auto"/>
        <w:ind w:left="720" w:hanging="720"/>
        <w:jc w:val="both"/>
        <w:rPr>
          <w:b/>
          <w:sz w:val="24"/>
          <w:szCs w:val="24"/>
        </w:rPr>
      </w:pPr>
    </w:p>
    <w:p w:rsidR="00686B90" w:rsidRPr="00F91BA2" w:rsidRDefault="00686B90" w:rsidP="00686B90">
      <w:pPr>
        <w:spacing w:line="480" w:lineRule="auto"/>
        <w:ind w:left="720" w:hanging="720"/>
        <w:jc w:val="both"/>
        <w:rPr>
          <w:b/>
          <w:sz w:val="24"/>
          <w:szCs w:val="24"/>
        </w:rPr>
      </w:pPr>
      <w:r w:rsidRPr="00F91BA2">
        <w:rPr>
          <w:b/>
          <w:sz w:val="24"/>
          <w:szCs w:val="24"/>
        </w:rPr>
        <w:t>Q.</w:t>
      </w:r>
      <w:r w:rsidRPr="00F91BA2">
        <w:rPr>
          <w:b/>
          <w:sz w:val="24"/>
          <w:szCs w:val="24"/>
        </w:rPr>
        <w:tab/>
        <w:t>What do you recommend to accomplish the true-up?</w:t>
      </w:r>
    </w:p>
    <w:p w:rsidR="00AF72B8" w:rsidRPr="00AF72B8" w:rsidRDefault="00686B90" w:rsidP="007925E4">
      <w:pPr>
        <w:spacing w:line="480" w:lineRule="auto"/>
        <w:ind w:left="720" w:hanging="720"/>
        <w:jc w:val="both"/>
        <w:rPr>
          <w:sz w:val="24"/>
          <w:szCs w:val="24"/>
        </w:rPr>
      </w:pPr>
      <w:r>
        <w:rPr>
          <w:sz w:val="24"/>
          <w:szCs w:val="24"/>
        </w:rPr>
        <w:t>A.</w:t>
      </w:r>
      <w:r>
        <w:rPr>
          <w:sz w:val="24"/>
          <w:szCs w:val="24"/>
        </w:rPr>
        <w:tab/>
        <w:t>I recommend that</w:t>
      </w:r>
      <w:r w:rsidR="0073064F">
        <w:rPr>
          <w:sz w:val="24"/>
          <w:szCs w:val="24"/>
        </w:rPr>
        <w:t xml:space="preserve">, if any plant disallowances are approved by the Commission, a </w:t>
      </w:r>
      <w:r w:rsidR="0034063C">
        <w:rPr>
          <w:sz w:val="24"/>
          <w:szCs w:val="24"/>
        </w:rPr>
        <w:t xml:space="preserve">separate </w:t>
      </w:r>
      <w:r w:rsidR="0073064F">
        <w:rPr>
          <w:sz w:val="24"/>
          <w:szCs w:val="24"/>
        </w:rPr>
        <w:t xml:space="preserve">compliance proceeding be ordered to determine the exact refund amounts and the forms that any refund </w:t>
      </w:r>
      <w:r w:rsidR="00334EF8">
        <w:rPr>
          <w:sz w:val="24"/>
          <w:szCs w:val="24"/>
        </w:rPr>
        <w:t>should</w:t>
      </w:r>
      <w:r w:rsidR="0073064F">
        <w:rPr>
          <w:sz w:val="24"/>
          <w:szCs w:val="24"/>
        </w:rPr>
        <w:t xml:space="preserve"> take.</w:t>
      </w:r>
      <w:r w:rsidR="00592561">
        <w:rPr>
          <w:sz w:val="24"/>
          <w:szCs w:val="24"/>
        </w:rPr>
        <w:t xml:space="preserve">  This will allow parties </w:t>
      </w:r>
      <w:r w:rsidR="00570053">
        <w:rPr>
          <w:sz w:val="24"/>
          <w:szCs w:val="24"/>
        </w:rPr>
        <w:t xml:space="preserve">an opportunity </w:t>
      </w:r>
      <w:r w:rsidR="00592561">
        <w:rPr>
          <w:sz w:val="24"/>
          <w:szCs w:val="24"/>
        </w:rPr>
        <w:t xml:space="preserve">to review </w:t>
      </w:r>
      <w:r w:rsidR="00570053">
        <w:rPr>
          <w:sz w:val="24"/>
          <w:szCs w:val="24"/>
        </w:rPr>
        <w:t xml:space="preserve">the </w:t>
      </w:r>
      <w:r w:rsidR="00570053">
        <w:rPr>
          <w:sz w:val="24"/>
          <w:szCs w:val="24"/>
        </w:rPr>
        <w:lastRenderedPageBreak/>
        <w:t>true-up calculations</w:t>
      </w:r>
      <w:r w:rsidR="004A5078">
        <w:rPr>
          <w:sz w:val="24"/>
          <w:szCs w:val="24"/>
        </w:rPr>
        <w:t xml:space="preserve"> in light of the Commission’s Order in this proceeding</w:t>
      </w:r>
      <w:r w:rsidR="00311AA8">
        <w:rPr>
          <w:sz w:val="24"/>
          <w:szCs w:val="24"/>
        </w:rPr>
        <w:t>.</w:t>
      </w:r>
    </w:p>
    <w:p w:rsidR="007D67EE" w:rsidRPr="00861CF8" w:rsidRDefault="007D67EE" w:rsidP="007D67EE">
      <w:pPr>
        <w:pStyle w:val="Heading1"/>
        <w:numPr>
          <w:ilvl w:val="0"/>
          <w:numId w:val="1"/>
        </w:numPr>
        <w:spacing w:line="480" w:lineRule="auto"/>
        <w:jc w:val="both"/>
        <w:rPr>
          <w:sz w:val="24"/>
        </w:rPr>
      </w:pPr>
      <w:bookmarkStart w:id="30" w:name="_Toc11215218"/>
      <w:r>
        <w:rPr>
          <w:sz w:val="24"/>
        </w:rPr>
        <w:t>CONCLUSION</w:t>
      </w:r>
      <w:bookmarkEnd w:id="30"/>
    </w:p>
    <w:p w:rsidR="00EA5230" w:rsidRPr="00E83E78" w:rsidRDefault="00EA5230" w:rsidP="00965FC9">
      <w:pPr>
        <w:spacing w:line="480" w:lineRule="auto"/>
        <w:ind w:left="720" w:hanging="720"/>
        <w:jc w:val="both"/>
        <w:rPr>
          <w:b/>
          <w:sz w:val="24"/>
          <w:szCs w:val="24"/>
        </w:rPr>
      </w:pPr>
      <w:r w:rsidRPr="007D67EE">
        <w:rPr>
          <w:b/>
          <w:sz w:val="24"/>
          <w:szCs w:val="24"/>
        </w:rPr>
        <w:t>Q.</w:t>
      </w:r>
      <w:r w:rsidRPr="007D67EE">
        <w:rPr>
          <w:b/>
          <w:sz w:val="24"/>
          <w:szCs w:val="24"/>
        </w:rPr>
        <w:tab/>
        <w:t>Does this conclude your</w:t>
      </w:r>
      <w:r w:rsidRPr="00E83E78">
        <w:rPr>
          <w:b/>
          <w:sz w:val="24"/>
          <w:szCs w:val="24"/>
        </w:rPr>
        <w:t xml:space="preserve"> </w:t>
      </w:r>
      <w:r w:rsidR="009010A9">
        <w:rPr>
          <w:b/>
          <w:sz w:val="24"/>
          <w:szCs w:val="24"/>
        </w:rPr>
        <w:t xml:space="preserve">direct </w:t>
      </w:r>
      <w:r w:rsidRPr="00E83E78">
        <w:rPr>
          <w:b/>
          <w:sz w:val="24"/>
          <w:szCs w:val="24"/>
        </w:rPr>
        <w:t>testimony?</w:t>
      </w:r>
    </w:p>
    <w:p w:rsidR="00A23DCA" w:rsidRPr="00DB18D1" w:rsidRDefault="00EA5230" w:rsidP="00E83E78">
      <w:pPr>
        <w:spacing w:line="480" w:lineRule="auto"/>
        <w:ind w:left="720" w:hanging="720"/>
        <w:jc w:val="both"/>
        <w:rPr>
          <w:b/>
          <w:sz w:val="24"/>
          <w:szCs w:val="24"/>
        </w:rPr>
        <w:sectPr w:rsidR="00A23DCA" w:rsidRPr="00DB18D1" w:rsidSect="00B25F84">
          <w:headerReference w:type="default" r:id="rId21"/>
          <w:footerReference w:type="default" r:id="rId22"/>
          <w:pgSz w:w="12240" w:h="15840" w:code="1"/>
          <w:pgMar w:top="1440" w:right="1800" w:bottom="994" w:left="1800" w:header="720" w:footer="720" w:gutter="0"/>
          <w:lnNumType w:countBy="1"/>
          <w:cols w:space="720"/>
          <w:docGrid w:linePitch="272"/>
        </w:sectPr>
      </w:pPr>
      <w:r w:rsidRPr="00E83E78">
        <w:rPr>
          <w:sz w:val="24"/>
          <w:szCs w:val="24"/>
        </w:rPr>
        <w:t>A.</w:t>
      </w:r>
      <w:r w:rsidRPr="00E83E78">
        <w:rPr>
          <w:sz w:val="24"/>
          <w:szCs w:val="24"/>
        </w:rPr>
        <w:tab/>
        <w:t>Yes</w:t>
      </w:r>
      <w:r w:rsidR="00847BC6">
        <w:rPr>
          <w:sz w:val="24"/>
          <w:szCs w:val="24"/>
        </w:rPr>
        <w:t>.</w:t>
      </w:r>
    </w:p>
    <w:p w:rsidR="003153B5" w:rsidRPr="00A14854" w:rsidRDefault="003153B5" w:rsidP="003153B5">
      <w:pPr>
        <w:spacing w:line="480" w:lineRule="auto"/>
        <w:jc w:val="center"/>
        <w:rPr>
          <w:b/>
          <w:sz w:val="28"/>
          <w:szCs w:val="28"/>
        </w:rPr>
      </w:pPr>
      <w:r w:rsidRPr="00A14854">
        <w:rPr>
          <w:b/>
          <w:sz w:val="28"/>
          <w:szCs w:val="28"/>
        </w:rPr>
        <w:lastRenderedPageBreak/>
        <w:t>Brian T. Murphy</w:t>
      </w:r>
    </w:p>
    <w:p w:rsidR="003153B5" w:rsidRPr="00A14854" w:rsidRDefault="003153B5" w:rsidP="003153B5">
      <w:pPr>
        <w:jc w:val="center"/>
      </w:pPr>
      <w:r w:rsidRPr="00A14854">
        <w:t>Public Utility Commission of Texas</w:t>
      </w:r>
    </w:p>
    <w:p w:rsidR="003153B5" w:rsidRPr="00A14854" w:rsidRDefault="003153B5" w:rsidP="003153B5">
      <w:pPr>
        <w:jc w:val="center"/>
      </w:pPr>
      <w:r w:rsidRPr="00A14854">
        <w:t>1701 North Congress Avenue</w:t>
      </w:r>
    </w:p>
    <w:p w:rsidR="003153B5" w:rsidRPr="00A14854" w:rsidRDefault="003153B5" w:rsidP="003153B5">
      <w:pPr>
        <w:jc w:val="center"/>
      </w:pPr>
      <w:r w:rsidRPr="00A14854">
        <w:t>Austin, TX  78711-3326</w:t>
      </w:r>
    </w:p>
    <w:p w:rsidR="003153B5" w:rsidRPr="00A14854" w:rsidRDefault="003153B5" w:rsidP="003153B5">
      <w:pPr>
        <w:spacing w:line="480" w:lineRule="auto"/>
        <w:jc w:val="both"/>
      </w:pPr>
    </w:p>
    <w:p w:rsidR="003153B5" w:rsidRPr="00A14854" w:rsidRDefault="003153B5" w:rsidP="003153B5">
      <w:pPr>
        <w:spacing w:line="480" w:lineRule="auto"/>
        <w:jc w:val="both"/>
        <w:rPr>
          <w:b/>
          <w:sz w:val="22"/>
          <w:szCs w:val="22"/>
          <w:u w:val="single"/>
        </w:rPr>
      </w:pPr>
      <w:r w:rsidRPr="00A14854">
        <w:rPr>
          <w:b/>
          <w:sz w:val="22"/>
          <w:szCs w:val="22"/>
          <w:u w:val="single"/>
        </w:rPr>
        <w:t>REGULATORY EXPERIENCE:</w:t>
      </w:r>
    </w:p>
    <w:p w:rsidR="003153B5" w:rsidRPr="00A14854" w:rsidRDefault="003153B5" w:rsidP="003153B5">
      <w:pPr>
        <w:jc w:val="both"/>
        <w:rPr>
          <w:sz w:val="22"/>
          <w:szCs w:val="22"/>
          <w:u w:val="single"/>
        </w:rPr>
      </w:pPr>
      <w:r w:rsidRPr="00A14854">
        <w:rPr>
          <w:sz w:val="22"/>
          <w:szCs w:val="22"/>
          <w:u w:val="single"/>
        </w:rPr>
        <w:t>Public Utility Commission of Texas, Rate Regulation Division</w:t>
      </w:r>
    </w:p>
    <w:p w:rsidR="003153B5" w:rsidRPr="00A14854" w:rsidRDefault="003153B5" w:rsidP="003153B5">
      <w:pPr>
        <w:jc w:val="both"/>
        <w:rPr>
          <w:sz w:val="22"/>
          <w:szCs w:val="22"/>
        </w:rPr>
      </w:pPr>
      <w:r w:rsidRPr="00A14854">
        <w:rPr>
          <w:sz w:val="22"/>
          <w:szCs w:val="22"/>
        </w:rPr>
        <w:t>Senior Rate Analyst, Tariff and Rate Analysis Section</w:t>
      </w:r>
    </w:p>
    <w:p w:rsidR="003153B5" w:rsidRPr="00A14854" w:rsidRDefault="003153B5" w:rsidP="003153B5">
      <w:pPr>
        <w:jc w:val="both"/>
        <w:rPr>
          <w:sz w:val="22"/>
          <w:szCs w:val="22"/>
        </w:rPr>
      </w:pPr>
      <w:r w:rsidRPr="00A14854">
        <w:rPr>
          <w:sz w:val="22"/>
          <w:szCs w:val="22"/>
        </w:rPr>
        <w:t>Employed: February, 2019 to present.</w:t>
      </w:r>
    </w:p>
    <w:p w:rsidR="003153B5" w:rsidRPr="00A14854" w:rsidRDefault="003153B5" w:rsidP="003153B5">
      <w:pPr>
        <w:jc w:val="both"/>
        <w:rPr>
          <w:sz w:val="22"/>
          <w:szCs w:val="22"/>
        </w:rPr>
      </w:pPr>
    </w:p>
    <w:p w:rsidR="003153B5" w:rsidRPr="00A14854" w:rsidRDefault="003153B5" w:rsidP="003153B5">
      <w:pPr>
        <w:jc w:val="both"/>
        <w:rPr>
          <w:sz w:val="22"/>
          <w:szCs w:val="22"/>
          <w:u w:val="single"/>
        </w:rPr>
      </w:pPr>
      <w:r w:rsidRPr="00A14854">
        <w:rPr>
          <w:sz w:val="22"/>
          <w:szCs w:val="22"/>
          <w:u w:val="single"/>
        </w:rPr>
        <w:t>ReSolved Energy Consulting</w:t>
      </w:r>
    </w:p>
    <w:p w:rsidR="003153B5" w:rsidRPr="00A14854" w:rsidRDefault="003153B5" w:rsidP="003153B5">
      <w:pPr>
        <w:jc w:val="both"/>
        <w:rPr>
          <w:sz w:val="22"/>
          <w:szCs w:val="22"/>
        </w:rPr>
      </w:pPr>
      <w:r w:rsidRPr="00A14854">
        <w:rPr>
          <w:sz w:val="22"/>
          <w:szCs w:val="22"/>
        </w:rPr>
        <w:t>Management Consultant</w:t>
      </w:r>
    </w:p>
    <w:p w:rsidR="003153B5" w:rsidRPr="00A14854" w:rsidRDefault="003153B5" w:rsidP="003153B5">
      <w:pPr>
        <w:spacing w:line="480" w:lineRule="auto"/>
        <w:jc w:val="both"/>
        <w:rPr>
          <w:sz w:val="22"/>
          <w:szCs w:val="22"/>
        </w:rPr>
      </w:pPr>
      <w:r w:rsidRPr="00A14854">
        <w:rPr>
          <w:sz w:val="22"/>
          <w:szCs w:val="22"/>
        </w:rPr>
        <w:t>Employed:  May, 2018 to January, 2019.</w:t>
      </w:r>
    </w:p>
    <w:p w:rsidR="003153B5" w:rsidRPr="00A14854" w:rsidRDefault="003153B5" w:rsidP="003153B5">
      <w:pPr>
        <w:jc w:val="both"/>
        <w:rPr>
          <w:sz w:val="22"/>
          <w:szCs w:val="22"/>
          <w:u w:val="single"/>
        </w:rPr>
      </w:pPr>
      <w:r w:rsidRPr="00A14854">
        <w:rPr>
          <w:sz w:val="22"/>
          <w:szCs w:val="22"/>
          <w:u w:val="single"/>
        </w:rPr>
        <w:t>Potomac Electric Power Company</w:t>
      </w:r>
    </w:p>
    <w:p w:rsidR="003153B5" w:rsidRPr="00A14854" w:rsidRDefault="003153B5" w:rsidP="003153B5">
      <w:pPr>
        <w:jc w:val="both"/>
        <w:rPr>
          <w:sz w:val="22"/>
          <w:szCs w:val="22"/>
        </w:rPr>
      </w:pPr>
      <w:r w:rsidRPr="00A14854">
        <w:rPr>
          <w:sz w:val="22"/>
          <w:szCs w:val="22"/>
        </w:rPr>
        <w:t>Senior Rate Analyst</w:t>
      </w:r>
    </w:p>
    <w:p w:rsidR="003153B5" w:rsidRPr="00A14854" w:rsidRDefault="003153B5" w:rsidP="003153B5">
      <w:pPr>
        <w:jc w:val="both"/>
        <w:rPr>
          <w:sz w:val="22"/>
          <w:szCs w:val="22"/>
        </w:rPr>
      </w:pPr>
      <w:r w:rsidRPr="00A14854">
        <w:rPr>
          <w:sz w:val="22"/>
          <w:szCs w:val="22"/>
        </w:rPr>
        <w:t>Employed:  March, 2017 to April, 2018</w:t>
      </w:r>
    </w:p>
    <w:p w:rsidR="003153B5" w:rsidRPr="00A14854" w:rsidRDefault="003153B5" w:rsidP="003153B5">
      <w:pPr>
        <w:jc w:val="both"/>
        <w:rPr>
          <w:sz w:val="22"/>
          <w:szCs w:val="22"/>
        </w:rPr>
      </w:pPr>
    </w:p>
    <w:p w:rsidR="003153B5" w:rsidRPr="00A14854" w:rsidRDefault="003153B5" w:rsidP="003153B5">
      <w:pPr>
        <w:jc w:val="both"/>
        <w:rPr>
          <w:sz w:val="22"/>
          <w:szCs w:val="22"/>
          <w:u w:val="single"/>
        </w:rPr>
      </w:pPr>
      <w:r w:rsidRPr="00A14854">
        <w:rPr>
          <w:sz w:val="22"/>
          <w:szCs w:val="22"/>
          <w:u w:val="single"/>
        </w:rPr>
        <w:t>Public Utility Commission of Texas, Rate Regulation Division</w:t>
      </w:r>
    </w:p>
    <w:p w:rsidR="003153B5" w:rsidRPr="00A14854" w:rsidRDefault="003153B5" w:rsidP="003153B5">
      <w:pPr>
        <w:jc w:val="both"/>
        <w:rPr>
          <w:sz w:val="22"/>
          <w:szCs w:val="22"/>
        </w:rPr>
      </w:pPr>
      <w:r w:rsidRPr="00A14854">
        <w:rPr>
          <w:sz w:val="22"/>
          <w:szCs w:val="22"/>
        </w:rPr>
        <w:t>Senior Rate Analyst, Tariff and Rate Analysis Section</w:t>
      </w:r>
    </w:p>
    <w:p w:rsidR="003153B5" w:rsidRPr="00A14854" w:rsidRDefault="003153B5" w:rsidP="003153B5">
      <w:pPr>
        <w:jc w:val="both"/>
        <w:rPr>
          <w:sz w:val="22"/>
          <w:szCs w:val="22"/>
        </w:rPr>
      </w:pPr>
      <w:r w:rsidRPr="00A14854">
        <w:rPr>
          <w:sz w:val="22"/>
          <w:szCs w:val="22"/>
        </w:rPr>
        <w:t>Employed: October, 2010 to March, 2017.</w:t>
      </w:r>
    </w:p>
    <w:p w:rsidR="003153B5" w:rsidRPr="00A14854" w:rsidRDefault="003153B5" w:rsidP="003153B5">
      <w:pPr>
        <w:jc w:val="both"/>
        <w:rPr>
          <w:sz w:val="22"/>
          <w:szCs w:val="22"/>
        </w:rPr>
      </w:pPr>
    </w:p>
    <w:p w:rsidR="003153B5" w:rsidRPr="00A14854" w:rsidRDefault="003153B5" w:rsidP="003153B5">
      <w:pPr>
        <w:jc w:val="both"/>
        <w:rPr>
          <w:sz w:val="22"/>
          <w:szCs w:val="22"/>
        </w:rPr>
      </w:pPr>
      <w:r w:rsidRPr="00A14854">
        <w:rPr>
          <w:sz w:val="22"/>
          <w:szCs w:val="22"/>
        </w:rPr>
        <w:t>Perform analysis of tariff filings, cost allocation, and rate design.  Review tariffs of regulated utilities to determine compliance with Commission requirements.  Analyze cost allocation studies and rate design issues for regulated electric utilities.  Analyze policy issues associated with the regulation of the electric industry.  Work on or lead teams in contested cases, reports, the development of market rules, and research concerning pricing and related issues.  Prepare and present testimony as an expert witness on rate and related issues in docketed proceedings before the Commission and the State Office of Administrative Hearings.</w:t>
      </w:r>
    </w:p>
    <w:p w:rsidR="003153B5" w:rsidRPr="00A14854" w:rsidRDefault="003153B5" w:rsidP="003153B5">
      <w:pPr>
        <w:jc w:val="both"/>
        <w:rPr>
          <w:sz w:val="22"/>
          <w:szCs w:val="22"/>
        </w:rPr>
      </w:pPr>
    </w:p>
    <w:p w:rsidR="003153B5" w:rsidRPr="00A14854" w:rsidRDefault="003153B5" w:rsidP="003153B5">
      <w:pPr>
        <w:jc w:val="both"/>
        <w:rPr>
          <w:b/>
          <w:sz w:val="22"/>
          <w:szCs w:val="22"/>
          <w:u w:val="single"/>
        </w:rPr>
      </w:pPr>
      <w:r w:rsidRPr="00A14854">
        <w:rPr>
          <w:b/>
          <w:sz w:val="22"/>
          <w:szCs w:val="22"/>
          <w:u w:val="single"/>
        </w:rPr>
        <w:t>EDUCATION:</w:t>
      </w:r>
    </w:p>
    <w:p w:rsidR="003153B5" w:rsidRPr="00A14854" w:rsidRDefault="003153B5" w:rsidP="003153B5">
      <w:pPr>
        <w:jc w:val="both"/>
        <w:rPr>
          <w:b/>
          <w:sz w:val="22"/>
          <w:szCs w:val="22"/>
          <w:u w:val="single"/>
        </w:rPr>
      </w:pPr>
    </w:p>
    <w:p w:rsidR="003153B5" w:rsidRPr="00A14854" w:rsidRDefault="003153B5" w:rsidP="003153B5">
      <w:pPr>
        <w:jc w:val="both"/>
        <w:rPr>
          <w:sz w:val="22"/>
          <w:szCs w:val="22"/>
        </w:rPr>
      </w:pPr>
      <w:r w:rsidRPr="00A14854">
        <w:rPr>
          <w:sz w:val="22"/>
          <w:szCs w:val="22"/>
        </w:rPr>
        <w:t>1998</w:t>
      </w:r>
      <w:r w:rsidRPr="00A14854">
        <w:rPr>
          <w:sz w:val="22"/>
          <w:szCs w:val="22"/>
        </w:rPr>
        <w:tab/>
      </w:r>
      <w:r w:rsidRPr="00A14854">
        <w:rPr>
          <w:sz w:val="22"/>
          <w:szCs w:val="22"/>
        </w:rPr>
        <w:tab/>
        <w:t>Baylor University, Waco, TX</w:t>
      </w:r>
    </w:p>
    <w:p w:rsidR="003153B5" w:rsidRPr="00A14854" w:rsidRDefault="003153B5" w:rsidP="003153B5">
      <w:pPr>
        <w:jc w:val="both"/>
        <w:rPr>
          <w:sz w:val="22"/>
          <w:szCs w:val="22"/>
        </w:rPr>
      </w:pPr>
      <w:r w:rsidRPr="00A14854">
        <w:rPr>
          <w:sz w:val="22"/>
          <w:szCs w:val="22"/>
        </w:rPr>
        <w:tab/>
      </w:r>
      <w:r w:rsidRPr="00A14854">
        <w:rPr>
          <w:sz w:val="22"/>
          <w:szCs w:val="22"/>
        </w:rPr>
        <w:tab/>
        <w:t>Master of Business Administration, concentration in finance.</w:t>
      </w:r>
    </w:p>
    <w:p w:rsidR="003153B5" w:rsidRPr="00A14854" w:rsidRDefault="003153B5" w:rsidP="003153B5">
      <w:pPr>
        <w:jc w:val="both"/>
        <w:rPr>
          <w:sz w:val="22"/>
          <w:szCs w:val="22"/>
        </w:rPr>
      </w:pPr>
    </w:p>
    <w:p w:rsidR="003153B5" w:rsidRPr="00A14854" w:rsidRDefault="003153B5" w:rsidP="003153B5">
      <w:pPr>
        <w:tabs>
          <w:tab w:val="left" w:pos="720"/>
          <w:tab w:val="left" w:pos="1440"/>
          <w:tab w:val="left" w:pos="2160"/>
          <w:tab w:val="left" w:pos="2880"/>
          <w:tab w:val="left" w:pos="3600"/>
          <w:tab w:val="left" w:pos="4320"/>
          <w:tab w:val="left" w:pos="6714"/>
        </w:tabs>
        <w:jc w:val="both"/>
        <w:rPr>
          <w:sz w:val="22"/>
          <w:szCs w:val="22"/>
        </w:rPr>
      </w:pPr>
      <w:r w:rsidRPr="00A14854">
        <w:rPr>
          <w:sz w:val="22"/>
          <w:szCs w:val="22"/>
        </w:rPr>
        <w:t>1996</w:t>
      </w:r>
      <w:r w:rsidRPr="00A14854">
        <w:rPr>
          <w:sz w:val="22"/>
          <w:szCs w:val="22"/>
        </w:rPr>
        <w:tab/>
      </w:r>
      <w:r w:rsidRPr="00A14854">
        <w:rPr>
          <w:sz w:val="22"/>
          <w:szCs w:val="22"/>
        </w:rPr>
        <w:tab/>
        <w:t>George Mason University, Fairfax, VA</w:t>
      </w:r>
      <w:r w:rsidRPr="00A14854">
        <w:rPr>
          <w:sz w:val="22"/>
          <w:szCs w:val="22"/>
        </w:rPr>
        <w:tab/>
      </w:r>
    </w:p>
    <w:p w:rsidR="003153B5" w:rsidRPr="00A14854" w:rsidRDefault="003153B5" w:rsidP="003153B5">
      <w:pPr>
        <w:jc w:val="both"/>
        <w:rPr>
          <w:sz w:val="22"/>
          <w:szCs w:val="22"/>
        </w:rPr>
      </w:pPr>
      <w:r w:rsidRPr="00A14854">
        <w:rPr>
          <w:sz w:val="22"/>
          <w:szCs w:val="22"/>
        </w:rPr>
        <w:tab/>
      </w:r>
      <w:r w:rsidRPr="00A14854">
        <w:rPr>
          <w:sz w:val="22"/>
          <w:szCs w:val="22"/>
        </w:rPr>
        <w:tab/>
        <w:t>Bachelor of Science.</w:t>
      </w:r>
    </w:p>
    <w:p w:rsidR="003153B5" w:rsidRPr="00A14854" w:rsidRDefault="003153B5" w:rsidP="003153B5">
      <w:pPr>
        <w:jc w:val="both"/>
        <w:rPr>
          <w:sz w:val="22"/>
          <w:szCs w:val="22"/>
        </w:rPr>
      </w:pPr>
    </w:p>
    <w:p w:rsidR="003153B5" w:rsidRPr="00A14854" w:rsidRDefault="003153B5" w:rsidP="003153B5">
      <w:pPr>
        <w:jc w:val="both"/>
        <w:rPr>
          <w:sz w:val="22"/>
          <w:szCs w:val="22"/>
        </w:rPr>
      </w:pPr>
      <w:r>
        <w:rPr>
          <w:sz w:val="22"/>
          <w:szCs w:val="22"/>
        </w:rPr>
        <w:t>1989-91</w:t>
      </w:r>
      <w:r>
        <w:rPr>
          <w:sz w:val="22"/>
          <w:szCs w:val="22"/>
        </w:rPr>
        <w:tab/>
      </w:r>
      <w:r w:rsidRPr="00A14854">
        <w:rPr>
          <w:sz w:val="22"/>
          <w:szCs w:val="22"/>
        </w:rPr>
        <w:t>University of Chicago, Chicago, IL</w:t>
      </w:r>
    </w:p>
    <w:p w:rsidR="003153B5" w:rsidRPr="00A14854" w:rsidRDefault="003153B5" w:rsidP="003153B5">
      <w:pPr>
        <w:jc w:val="both"/>
        <w:rPr>
          <w:sz w:val="22"/>
          <w:szCs w:val="22"/>
        </w:rPr>
      </w:pPr>
      <w:r w:rsidRPr="00A14854">
        <w:rPr>
          <w:sz w:val="22"/>
          <w:szCs w:val="22"/>
        </w:rPr>
        <w:tab/>
      </w:r>
      <w:r w:rsidRPr="00A14854">
        <w:rPr>
          <w:sz w:val="22"/>
          <w:szCs w:val="22"/>
        </w:rPr>
        <w:tab/>
        <w:t>Core Curriculum.</w:t>
      </w:r>
    </w:p>
    <w:p w:rsidR="003153B5" w:rsidRPr="00A14854" w:rsidRDefault="003153B5" w:rsidP="003153B5">
      <w:pPr>
        <w:jc w:val="both"/>
        <w:rPr>
          <w:b/>
          <w:sz w:val="22"/>
          <w:szCs w:val="22"/>
          <w:u w:val="single"/>
        </w:rPr>
      </w:pPr>
    </w:p>
    <w:p w:rsidR="003153B5" w:rsidRPr="00A14854" w:rsidRDefault="003153B5" w:rsidP="003153B5">
      <w:pPr>
        <w:tabs>
          <w:tab w:val="left" w:pos="2487"/>
        </w:tabs>
        <w:jc w:val="both"/>
        <w:rPr>
          <w:b/>
          <w:sz w:val="22"/>
          <w:szCs w:val="22"/>
          <w:u w:val="single"/>
        </w:rPr>
      </w:pPr>
      <w:r w:rsidRPr="00A14854">
        <w:rPr>
          <w:b/>
          <w:sz w:val="22"/>
          <w:szCs w:val="22"/>
          <w:u w:val="single"/>
        </w:rPr>
        <w:t>BUSINESS SKILLS:</w:t>
      </w:r>
    </w:p>
    <w:p w:rsidR="003153B5" w:rsidRPr="00A14854" w:rsidRDefault="003153B5" w:rsidP="003153B5">
      <w:pPr>
        <w:tabs>
          <w:tab w:val="left" w:pos="2487"/>
        </w:tabs>
        <w:jc w:val="both"/>
        <w:rPr>
          <w:b/>
          <w:sz w:val="22"/>
          <w:szCs w:val="22"/>
          <w:u w:val="single"/>
        </w:rPr>
      </w:pPr>
    </w:p>
    <w:p w:rsidR="003153B5" w:rsidRPr="00A14854" w:rsidRDefault="003153B5" w:rsidP="003153B5">
      <w:pPr>
        <w:jc w:val="both"/>
        <w:rPr>
          <w:sz w:val="22"/>
          <w:szCs w:val="22"/>
        </w:rPr>
      </w:pPr>
      <w:r w:rsidRPr="00A14854">
        <w:rPr>
          <w:sz w:val="22"/>
          <w:szCs w:val="22"/>
        </w:rPr>
        <w:t>1999</w:t>
      </w:r>
      <w:r w:rsidRPr="00A14854">
        <w:rPr>
          <w:sz w:val="22"/>
          <w:szCs w:val="22"/>
        </w:rPr>
        <w:tab/>
      </w:r>
      <w:r w:rsidRPr="00A14854">
        <w:rPr>
          <w:sz w:val="22"/>
          <w:szCs w:val="22"/>
        </w:rPr>
        <w:tab/>
        <w:t>St. Charles Training Center, St. Charles, IL.</w:t>
      </w:r>
    </w:p>
    <w:p w:rsidR="003153B5" w:rsidRPr="00A14854" w:rsidRDefault="003153B5" w:rsidP="003153B5">
      <w:pPr>
        <w:jc w:val="both"/>
        <w:rPr>
          <w:sz w:val="22"/>
          <w:szCs w:val="22"/>
        </w:rPr>
      </w:pPr>
      <w:r w:rsidRPr="00A14854">
        <w:rPr>
          <w:sz w:val="22"/>
          <w:szCs w:val="22"/>
        </w:rPr>
        <w:tab/>
      </w:r>
      <w:r w:rsidRPr="00A14854">
        <w:rPr>
          <w:sz w:val="22"/>
          <w:szCs w:val="22"/>
        </w:rPr>
        <w:tab/>
        <w:t>Financial Modeling.</w:t>
      </w:r>
    </w:p>
    <w:p w:rsidR="003153B5" w:rsidRDefault="003153B5" w:rsidP="003153B5">
      <w:pPr>
        <w:jc w:val="both"/>
      </w:pPr>
    </w:p>
    <w:p w:rsidR="003153B5" w:rsidRPr="00B37F12" w:rsidRDefault="003153B5" w:rsidP="003153B5">
      <w:pPr>
        <w:spacing w:line="480" w:lineRule="auto"/>
        <w:jc w:val="both"/>
        <w:rPr>
          <w:b/>
          <w:bCs/>
          <w:color w:val="000000"/>
          <w:sz w:val="22"/>
          <w:szCs w:val="22"/>
          <w:u w:val="single"/>
        </w:rPr>
      </w:pPr>
      <w:r w:rsidRPr="00B37F12">
        <w:rPr>
          <w:b/>
          <w:bCs/>
          <w:color w:val="000000"/>
          <w:sz w:val="22"/>
          <w:szCs w:val="22"/>
          <w:u w:val="single"/>
        </w:rPr>
        <w:lastRenderedPageBreak/>
        <w:t>List of Testimony Filed at the Public Utility Commission of Texas:</w:t>
      </w:r>
    </w:p>
    <w:p w:rsidR="007751D8" w:rsidRPr="0096477C" w:rsidRDefault="007751D8" w:rsidP="007751D8">
      <w:pPr>
        <w:spacing w:line="480" w:lineRule="auto"/>
        <w:jc w:val="both"/>
        <w:rPr>
          <w:bCs/>
          <w:i/>
          <w:color w:val="000000"/>
          <w:sz w:val="22"/>
          <w:szCs w:val="22"/>
        </w:rPr>
      </w:pPr>
      <w:r>
        <w:rPr>
          <w:b/>
          <w:bCs/>
          <w:color w:val="000000"/>
          <w:sz w:val="22"/>
          <w:szCs w:val="22"/>
        </w:rPr>
        <w:t>Docket No. 49148</w:t>
      </w:r>
      <w:r w:rsidR="0096477C">
        <w:rPr>
          <w:b/>
          <w:bCs/>
          <w:color w:val="000000"/>
          <w:sz w:val="22"/>
          <w:szCs w:val="22"/>
        </w:rPr>
        <w:t>—</w:t>
      </w:r>
      <w:r w:rsidR="0096477C" w:rsidRPr="0096477C">
        <w:rPr>
          <w:bCs/>
          <w:i/>
          <w:color w:val="000000"/>
          <w:sz w:val="22"/>
          <w:szCs w:val="22"/>
        </w:rPr>
        <w:t>Application of El Paso Electric Company for a Transmission Cost Recovery Factor</w:t>
      </w:r>
      <w:r w:rsidR="0096477C">
        <w:rPr>
          <w:bCs/>
          <w:i/>
          <w:color w:val="000000"/>
          <w:sz w:val="22"/>
          <w:szCs w:val="22"/>
        </w:rPr>
        <w:t>—</w:t>
      </w:r>
      <w:r w:rsidRPr="0096477C">
        <w:rPr>
          <w:bCs/>
          <w:color w:val="000000"/>
          <w:sz w:val="22"/>
          <w:szCs w:val="22"/>
        </w:rPr>
        <w:t>April 23, 2019</w:t>
      </w:r>
      <w:r w:rsidR="0096477C">
        <w:rPr>
          <w:bCs/>
          <w:color w:val="000000"/>
          <w:sz w:val="22"/>
          <w:szCs w:val="22"/>
        </w:rPr>
        <w:t>.</w:t>
      </w:r>
    </w:p>
    <w:p w:rsidR="003153B5" w:rsidRDefault="007751D8" w:rsidP="003153B5">
      <w:pPr>
        <w:spacing w:line="480" w:lineRule="auto"/>
        <w:jc w:val="both"/>
        <w:rPr>
          <w:b/>
          <w:bCs/>
          <w:color w:val="000000"/>
          <w:sz w:val="22"/>
          <w:szCs w:val="22"/>
        </w:rPr>
      </w:pPr>
      <w:r>
        <w:rPr>
          <w:b/>
          <w:bCs/>
          <w:color w:val="000000"/>
          <w:sz w:val="22"/>
          <w:szCs w:val="22"/>
        </w:rPr>
        <w:t>Docket No. 48439</w:t>
      </w:r>
      <w:r w:rsidR="000256F7" w:rsidRPr="000256F7">
        <w:rPr>
          <w:bCs/>
          <w:color w:val="000000"/>
          <w:sz w:val="22"/>
          <w:szCs w:val="22"/>
        </w:rPr>
        <w:t>—</w:t>
      </w:r>
      <w:r w:rsidR="000256F7" w:rsidRPr="000256F7">
        <w:rPr>
          <w:bCs/>
          <w:i/>
          <w:color w:val="000000"/>
          <w:sz w:val="22"/>
          <w:szCs w:val="22"/>
        </w:rPr>
        <w:t>Review of Rate Case Expenses Incurred in Docket 48371</w:t>
      </w:r>
      <w:r w:rsidR="000256F7" w:rsidRPr="000256F7">
        <w:rPr>
          <w:bCs/>
          <w:color w:val="000000"/>
          <w:sz w:val="22"/>
          <w:szCs w:val="22"/>
        </w:rPr>
        <w:t>—</w:t>
      </w:r>
      <w:r w:rsidRPr="0096477C">
        <w:rPr>
          <w:bCs/>
          <w:color w:val="000000"/>
          <w:sz w:val="22"/>
          <w:szCs w:val="22"/>
        </w:rPr>
        <w:t>April 15, 2019</w:t>
      </w:r>
      <w:r w:rsidR="000256F7">
        <w:rPr>
          <w:bCs/>
          <w:color w:val="000000"/>
          <w:sz w:val="22"/>
          <w:szCs w:val="22"/>
        </w:rPr>
        <w:t>.</w:t>
      </w:r>
    </w:p>
    <w:p w:rsidR="003153B5" w:rsidRPr="00672049" w:rsidRDefault="003153B5" w:rsidP="003153B5">
      <w:pPr>
        <w:spacing w:line="480" w:lineRule="auto"/>
        <w:jc w:val="both"/>
        <w:rPr>
          <w:bCs/>
          <w:color w:val="000000"/>
          <w:sz w:val="22"/>
          <w:szCs w:val="22"/>
        </w:rPr>
      </w:pPr>
      <w:r w:rsidRPr="00672049">
        <w:rPr>
          <w:b/>
          <w:bCs/>
          <w:color w:val="000000"/>
          <w:sz w:val="22"/>
          <w:szCs w:val="22"/>
        </w:rPr>
        <w:t>Docket No. 48401</w:t>
      </w:r>
      <w:r w:rsidRPr="00672049">
        <w:rPr>
          <w:bCs/>
          <w:color w:val="000000"/>
          <w:sz w:val="22"/>
          <w:szCs w:val="22"/>
        </w:rPr>
        <w:t>—</w:t>
      </w:r>
      <w:r w:rsidRPr="00672049">
        <w:rPr>
          <w:bCs/>
          <w:i/>
          <w:color w:val="000000"/>
          <w:sz w:val="22"/>
          <w:szCs w:val="22"/>
        </w:rPr>
        <w:t>Application of Texas-New Mexico Power Company for Authority to Change Rates</w:t>
      </w:r>
      <w:r>
        <w:rPr>
          <w:bCs/>
          <w:color w:val="000000"/>
          <w:sz w:val="22"/>
          <w:szCs w:val="22"/>
        </w:rPr>
        <w:t>—August 13, 2018 (direct) and August 28, 2018 (rebuttal).</w:t>
      </w:r>
    </w:p>
    <w:p w:rsidR="003153B5" w:rsidRPr="00672049" w:rsidRDefault="003153B5" w:rsidP="003153B5">
      <w:pPr>
        <w:spacing w:line="480" w:lineRule="auto"/>
        <w:jc w:val="both"/>
        <w:rPr>
          <w:bCs/>
          <w:i/>
          <w:color w:val="000000"/>
          <w:sz w:val="22"/>
          <w:szCs w:val="22"/>
        </w:rPr>
      </w:pPr>
      <w:r w:rsidRPr="00672049">
        <w:rPr>
          <w:b/>
          <w:bCs/>
          <w:color w:val="000000"/>
          <w:sz w:val="22"/>
          <w:szCs w:val="22"/>
        </w:rPr>
        <w:t>Docket No. 48371</w:t>
      </w:r>
      <w:r w:rsidRPr="00672049">
        <w:rPr>
          <w:bCs/>
          <w:color w:val="000000"/>
          <w:sz w:val="22"/>
          <w:szCs w:val="22"/>
        </w:rPr>
        <w:t>—</w:t>
      </w:r>
      <w:r>
        <w:rPr>
          <w:bCs/>
          <w:i/>
          <w:color w:val="000000"/>
          <w:sz w:val="22"/>
          <w:szCs w:val="22"/>
        </w:rPr>
        <w:t>Entergy Texas, Inc.</w:t>
      </w:r>
      <w:r w:rsidRPr="00672049">
        <w:rPr>
          <w:bCs/>
          <w:i/>
          <w:color w:val="000000"/>
          <w:sz w:val="22"/>
          <w:szCs w:val="22"/>
        </w:rPr>
        <w:t>'s Statement of Intent and Application for Authority to</w:t>
      </w:r>
      <w:r>
        <w:rPr>
          <w:bCs/>
          <w:i/>
          <w:color w:val="000000"/>
          <w:sz w:val="22"/>
          <w:szCs w:val="22"/>
        </w:rPr>
        <w:t xml:space="preserve"> </w:t>
      </w:r>
      <w:r w:rsidRPr="00672049">
        <w:rPr>
          <w:bCs/>
          <w:i/>
          <w:color w:val="000000"/>
          <w:sz w:val="22"/>
          <w:szCs w:val="22"/>
        </w:rPr>
        <w:t>Change Rates</w:t>
      </w:r>
      <w:r w:rsidRPr="00672049">
        <w:rPr>
          <w:bCs/>
          <w:color w:val="000000"/>
          <w:sz w:val="22"/>
          <w:szCs w:val="22"/>
        </w:rPr>
        <w:t>—August 1, 2018.</w:t>
      </w:r>
    </w:p>
    <w:p w:rsidR="003153B5" w:rsidRPr="00672049" w:rsidRDefault="003153B5" w:rsidP="003153B5">
      <w:pPr>
        <w:spacing w:line="480" w:lineRule="auto"/>
        <w:jc w:val="both"/>
        <w:rPr>
          <w:bCs/>
          <w:i/>
          <w:color w:val="000000"/>
          <w:sz w:val="22"/>
          <w:szCs w:val="22"/>
        </w:rPr>
      </w:pPr>
      <w:r w:rsidRPr="00672049">
        <w:rPr>
          <w:b/>
          <w:bCs/>
          <w:color w:val="000000"/>
          <w:sz w:val="22"/>
          <w:szCs w:val="22"/>
        </w:rPr>
        <w:t>Docket No. 48322</w:t>
      </w:r>
      <w:r w:rsidRPr="00672049">
        <w:rPr>
          <w:bCs/>
          <w:color w:val="000000"/>
          <w:sz w:val="22"/>
          <w:szCs w:val="22"/>
        </w:rPr>
        <w:t>—</w:t>
      </w:r>
      <w:r w:rsidRPr="00672049">
        <w:rPr>
          <w:bCs/>
          <w:i/>
          <w:color w:val="000000"/>
          <w:sz w:val="22"/>
          <w:szCs w:val="22"/>
        </w:rPr>
        <w:t>Application of El Paso Electric Company to Adjust its Energy Efficiency</w:t>
      </w:r>
      <w:r>
        <w:rPr>
          <w:bCs/>
          <w:i/>
          <w:color w:val="000000"/>
          <w:sz w:val="22"/>
          <w:szCs w:val="22"/>
        </w:rPr>
        <w:t xml:space="preserve"> </w:t>
      </w:r>
      <w:r w:rsidRPr="00672049">
        <w:rPr>
          <w:bCs/>
          <w:i/>
          <w:color w:val="000000"/>
          <w:sz w:val="22"/>
          <w:szCs w:val="22"/>
        </w:rPr>
        <w:t>Cost Recovery Factor and Establish Revised Cost Cap</w:t>
      </w:r>
      <w:r w:rsidRPr="00672049">
        <w:rPr>
          <w:bCs/>
          <w:color w:val="000000"/>
          <w:sz w:val="22"/>
          <w:szCs w:val="22"/>
        </w:rPr>
        <w:t>—July 27, 2018.</w:t>
      </w:r>
    </w:p>
    <w:p w:rsidR="003153B5" w:rsidRPr="00672049" w:rsidRDefault="003153B5" w:rsidP="003153B5">
      <w:pPr>
        <w:spacing w:line="480" w:lineRule="auto"/>
        <w:jc w:val="both"/>
        <w:rPr>
          <w:bCs/>
          <w:color w:val="000000"/>
          <w:sz w:val="22"/>
          <w:szCs w:val="22"/>
        </w:rPr>
      </w:pPr>
      <w:r w:rsidRPr="00672049">
        <w:rPr>
          <w:b/>
          <w:bCs/>
          <w:color w:val="000000"/>
          <w:sz w:val="22"/>
          <w:szCs w:val="22"/>
        </w:rPr>
        <w:t>Docket No. 48422</w:t>
      </w:r>
      <w:r w:rsidRPr="00672049">
        <w:rPr>
          <w:bCs/>
          <w:color w:val="000000"/>
          <w:sz w:val="22"/>
          <w:szCs w:val="22"/>
        </w:rPr>
        <w:t>—</w:t>
      </w:r>
      <w:r w:rsidRPr="001F0D92">
        <w:rPr>
          <w:bCs/>
          <w:i/>
          <w:color w:val="000000"/>
          <w:sz w:val="22"/>
          <w:szCs w:val="22"/>
        </w:rPr>
        <w:t>Application of AEP Texas, Inc. to Adjust its Energy Efficiency Cost</w:t>
      </w:r>
      <w:r>
        <w:rPr>
          <w:bCs/>
          <w:i/>
          <w:color w:val="000000"/>
          <w:sz w:val="22"/>
          <w:szCs w:val="22"/>
        </w:rPr>
        <w:t xml:space="preserve"> </w:t>
      </w:r>
      <w:r w:rsidRPr="001F0D92">
        <w:rPr>
          <w:bCs/>
          <w:i/>
          <w:color w:val="000000"/>
          <w:sz w:val="22"/>
          <w:szCs w:val="22"/>
        </w:rPr>
        <w:t>Recovery Factor and Related Relief</w:t>
      </w:r>
      <w:r w:rsidRPr="00672049">
        <w:rPr>
          <w:bCs/>
          <w:color w:val="000000"/>
          <w:sz w:val="22"/>
          <w:szCs w:val="22"/>
        </w:rPr>
        <w:t>—July 17, 2018.</w:t>
      </w:r>
    </w:p>
    <w:p w:rsidR="003153B5" w:rsidRPr="00672049" w:rsidRDefault="003153B5" w:rsidP="003153B5">
      <w:pPr>
        <w:spacing w:line="480" w:lineRule="auto"/>
        <w:jc w:val="both"/>
        <w:rPr>
          <w:bCs/>
          <w:color w:val="000000"/>
          <w:sz w:val="22"/>
          <w:szCs w:val="22"/>
        </w:rPr>
      </w:pPr>
      <w:r w:rsidRPr="00672049">
        <w:rPr>
          <w:b/>
          <w:bCs/>
          <w:color w:val="000000"/>
          <w:sz w:val="22"/>
          <w:szCs w:val="22"/>
        </w:rPr>
        <w:t>Docket No. 48421</w:t>
      </w:r>
      <w:r w:rsidRPr="00672049">
        <w:rPr>
          <w:bCs/>
          <w:color w:val="000000"/>
          <w:sz w:val="22"/>
          <w:szCs w:val="22"/>
        </w:rPr>
        <w:t>—</w:t>
      </w:r>
      <w:r w:rsidRPr="001F0D92">
        <w:rPr>
          <w:bCs/>
          <w:i/>
          <w:color w:val="000000"/>
          <w:sz w:val="22"/>
          <w:szCs w:val="22"/>
        </w:rPr>
        <w:t>Application of Oncor Electric Delivery Company LLC to Adjust its Energy Efficiency Cost Recovery Factor</w:t>
      </w:r>
      <w:r w:rsidRPr="00672049">
        <w:rPr>
          <w:bCs/>
          <w:color w:val="000000"/>
          <w:sz w:val="22"/>
          <w:szCs w:val="22"/>
        </w:rPr>
        <w:t>—July 12, 2018.</w:t>
      </w:r>
    </w:p>
    <w:p w:rsidR="003153B5" w:rsidRPr="00672049" w:rsidRDefault="003153B5" w:rsidP="003153B5">
      <w:pPr>
        <w:spacing w:line="480" w:lineRule="auto"/>
        <w:jc w:val="both"/>
        <w:rPr>
          <w:bCs/>
          <w:color w:val="000000"/>
          <w:sz w:val="22"/>
          <w:szCs w:val="22"/>
        </w:rPr>
      </w:pPr>
      <w:r w:rsidRPr="00672049">
        <w:rPr>
          <w:b/>
          <w:bCs/>
          <w:color w:val="000000"/>
          <w:sz w:val="22"/>
          <w:szCs w:val="22"/>
        </w:rPr>
        <w:t>Docket No. 45414</w:t>
      </w:r>
      <w:r w:rsidRPr="00672049">
        <w:rPr>
          <w:bCs/>
          <w:color w:val="000000"/>
          <w:sz w:val="22"/>
          <w:szCs w:val="22"/>
        </w:rPr>
        <w:t>—</w:t>
      </w:r>
      <w:r w:rsidRPr="001F0D92">
        <w:rPr>
          <w:bCs/>
          <w:i/>
          <w:color w:val="000000"/>
          <w:sz w:val="22"/>
          <w:szCs w:val="22"/>
        </w:rPr>
        <w:t>Review of the Rates of Sharyland Utilities, L.P., Establishment of Rates for Sharyland Distribution &amp; Transmission Services, L.L.C., and Request for Grant of a Certificate of Convenience and Necessity and Transfer of Certificate Rights</w:t>
      </w:r>
      <w:r w:rsidRPr="00672049">
        <w:rPr>
          <w:bCs/>
          <w:color w:val="000000"/>
          <w:sz w:val="22"/>
          <w:szCs w:val="22"/>
        </w:rPr>
        <w:t>—March 7, 2017 (Direct), and</w:t>
      </w:r>
      <w:r>
        <w:rPr>
          <w:bCs/>
          <w:color w:val="000000"/>
          <w:sz w:val="22"/>
          <w:szCs w:val="22"/>
        </w:rPr>
        <w:t xml:space="preserve"> </w:t>
      </w:r>
      <w:r w:rsidRPr="00672049">
        <w:rPr>
          <w:bCs/>
          <w:color w:val="000000"/>
          <w:sz w:val="22"/>
          <w:szCs w:val="22"/>
        </w:rPr>
        <w:t>March 16, 2017 (Cross-Rebuttal).</w:t>
      </w:r>
    </w:p>
    <w:p w:rsidR="003153B5" w:rsidRPr="00672049" w:rsidRDefault="003153B5" w:rsidP="003153B5">
      <w:pPr>
        <w:spacing w:line="480" w:lineRule="auto"/>
        <w:jc w:val="both"/>
        <w:rPr>
          <w:bCs/>
          <w:color w:val="000000"/>
          <w:sz w:val="22"/>
          <w:szCs w:val="22"/>
        </w:rPr>
      </w:pPr>
      <w:r w:rsidRPr="00672049">
        <w:rPr>
          <w:b/>
          <w:bCs/>
          <w:color w:val="000000"/>
          <w:sz w:val="22"/>
          <w:szCs w:val="22"/>
        </w:rPr>
        <w:t>Docket No. 45524</w:t>
      </w:r>
      <w:r w:rsidRPr="00672049">
        <w:rPr>
          <w:bCs/>
          <w:color w:val="000000"/>
          <w:sz w:val="22"/>
          <w:szCs w:val="22"/>
        </w:rPr>
        <w:t>—</w:t>
      </w:r>
      <w:r w:rsidRPr="001F0D92">
        <w:rPr>
          <w:bCs/>
          <w:i/>
          <w:color w:val="000000"/>
          <w:sz w:val="22"/>
          <w:szCs w:val="22"/>
        </w:rPr>
        <w:t>Application of Southwestern Public Service Company for Authority to Change Rates</w:t>
      </w:r>
      <w:r w:rsidRPr="00672049">
        <w:rPr>
          <w:bCs/>
          <w:color w:val="000000"/>
          <w:sz w:val="22"/>
          <w:szCs w:val="22"/>
        </w:rPr>
        <w:t>—August 23, 2016 (Direct), September 7, 2016 (Cross-Rebuttal), and December 8</w:t>
      </w:r>
      <w:r>
        <w:rPr>
          <w:bCs/>
          <w:color w:val="000000"/>
          <w:sz w:val="22"/>
          <w:szCs w:val="22"/>
        </w:rPr>
        <w:t xml:space="preserve"> </w:t>
      </w:r>
      <w:r w:rsidRPr="00672049">
        <w:rPr>
          <w:bCs/>
          <w:color w:val="000000"/>
          <w:sz w:val="22"/>
          <w:szCs w:val="22"/>
        </w:rPr>
        <w:t>(Settlement).</w:t>
      </w:r>
    </w:p>
    <w:p w:rsidR="003153B5" w:rsidRPr="00672049" w:rsidRDefault="003153B5" w:rsidP="003153B5">
      <w:pPr>
        <w:spacing w:line="480" w:lineRule="auto"/>
        <w:jc w:val="both"/>
        <w:rPr>
          <w:bCs/>
          <w:color w:val="000000"/>
          <w:sz w:val="22"/>
          <w:szCs w:val="22"/>
        </w:rPr>
      </w:pPr>
      <w:r w:rsidRPr="00672049">
        <w:rPr>
          <w:b/>
          <w:bCs/>
          <w:color w:val="000000"/>
          <w:sz w:val="22"/>
          <w:szCs w:val="22"/>
        </w:rPr>
        <w:lastRenderedPageBreak/>
        <w:t>Docket No. 46014</w:t>
      </w:r>
      <w:r w:rsidRPr="00672049">
        <w:rPr>
          <w:bCs/>
          <w:color w:val="000000"/>
          <w:sz w:val="22"/>
          <w:szCs w:val="22"/>
        </w:rPr>
        <w:t>—</w:t>
      </w:r>
      <w:r w:rsidRPr="001F0D92">
        <w:rPr>
          <w:bCs/>
          <w:i/>
          <w:color w:val="000000"/>
          <w:sz w:val="22"/>
          <w:szCs w:val="22"/>
        </w:rPr>
        <w:t>Application of CenterPoint Energy Houston Electric, LLC to Adjust Its Energy Efficiency Cost Recovery Factor</w:t>
      </w:r>
      <w:r w:rsidRPr="00672049">
        <w:rPr>
          <w:bCs/>
          <w:color w:val="000000"/>
          <w:sz w:val="22"/>
          <w:szCs w:val="22"/>
        </w:rPr>
        <w:t>—August 8, 2016.</w:t>
      </w:r>
    </w:p>
    <w:p w:rsidR="003153B5" w:rsidRPr="00672049" w:rsidRDefault="003153B5" w:rsidP="003153B5">
      <w:pPr>
        <w:spacing w:line="480" w:lineRule="auto"/>
        <w:jc w:val="both"/>
        <w:rPr>
          <w:bCs/>
          <w:color w:val="000000"/>
          <w:sz w:val="22"/>
          <w:szCs w:val="22"/>
        </w:rPr>
      </w:pPr>
      <w:r w:rsidRPr="00672049">
        <w:rPr>
          <w:b/>
          <w:bCs/>
          <w:color w:val="000000"/>
          <w:sz w:val="22"/>
          <w:szCs w:val="22"/>
        </w:rPr>
        <w:t>Docket No. 45691</w:t>
      </w:r>
      <w:r w:rsidRPr="00672049">
        <w:rPr>
          <w:bCs/>
          <w:color w:val="000000"/>
          <w:sz w:val="22"/>
          <w:szCs w:val="22"/>
        </w:rPr>
        <w:t>—</w:t>
      </w:r>
      <w:r w:rsidRPr="001F0D92">
        <w:rPr>
          <w:bCs/>
          <w:i/>
          <w:color w:val="000000"/>
          <w:sz w:val="22"/>
          <w:szCs w:val="22"/>
        </w:rPr>
        <w:t>Application of Southwestern Electric Power Company for Approval to Amend Transmission Cost Recovery Factor</w:t>
      </w:r>
      <w:r w:rsidRPr="00672049">
        <w:rPr>
          <w:bCs/>
          <w:color w:val="000000"/>
          <w:sz w:val="22"/>
          <w:szCs w:val="22"/>
        </w:rPr>
        <w:t>—June 9, 2016.</w:t>
      </w:r>
    </w:p>
    <w:p w:rsidR="003153B5" w:rsidRPr="001F0D92" w:rsidRDefault="003153B5" w:rsidP="003153B5">
      <w:pPr>
        <w:spacing w:line="480" w:lineRule="auto"/>
        <w:jc w:val="both"/>
        <w:rPr>
          <w:bCs/>
          <w:color w:val="000000"/>
          <w:sz w:val="22"/>
          <w:szCs w:val="22"/>
        </w:rPr>
      </w:pPr>
      <w:r w:rsidRPr="00672049">
        <w:rPr>
          <w:b/>
          <w:bCs/>
          <w:color w:val="000000"/>
          <w:sz w:val="22"/>
          <w:szCs w:val="22"/>
        </w:rPr>
        <w:t>Docket No. 44498</w:t>
      </w:r>
      <w:r w:rsidRPr="00672049">
        <w:rPr>
          <w:bCs/>
          <w:color w:val="000000"/>
          <w:sz w:val="22"/>
          <w:szCs w:val="22"/>
        </w:rPr>
        <w:t>—</w:t>
      </w:r>
      <w:r w:rsidRPr="001F0D92">
        <w:rPr>
          <w:bCs/>
          <w:i/>
          <w:color w:val="000000"/>
          <w:sz w:val="22"/>
          <w:szCs w:val="22"/>
        </w:rPr>
        <w:t>Review of Rate Case Expenses Incurred by Southwestern Public Service Company and Muni</w:t>
      </w:r>
      <w:r>
        <w:rPr>
          <w:bCs/>
          <w:i/>
          <w:color w:val="000000"/>
          <w:sz w:val="22"/>
          <w:szCs w:val="22"/>
        </w:rPr>
        <w:t>cip</w:t>
      </w:r>
      <w:r w:rsidRPr="001F0D92">
        <w:rPr>
          <w:bCs/>
          <w:i/>
          <w:color w:val="000000"/>
          <w:sz w:val="22"/>
          <w:szCs w:val="22"/>
        </w:rPr>
        <w:t>alities in Docket No. 43695</w:t>
      </w:r>
      <w:r w:rsidRPr="001F0D92">
        <w:rPr>
          <w:bCs/>
          <w:color w:val="000000"/>
          <w:sz w:val="22"/>
          <w:szCs w:val="22"/>
        </w:rPr>
        <w:t>—May 9, 2016.</w:t>
      </w:r>
    </w:p>
    <w:p w:rsidR="003153B5" w:rsidRPr="001F0D92" w:rsidRDefault="003153B5" w:rsidP="003153B5">
      <w:pPr>
        <w:spacing w:line="480" w:lineRule="auto"/>
        <w:jc w:val="both"/>
        <w:rPr>
          <w:b/>
          <w:bCs/>
          <w:color w:val="000000"/>
          <w:sz w:val="22"/>
          <w:szCs w:val="22"/>
        </w:rPr>
      </w:pPr>
      <w:r w:rsidRPr="001F0D92">
        <w:rPr>
          <w:b/>
          <w:bCs/>
          <w:color w:val="000000"/>
          <w:sz w:val="22"/>
          <w:szCs w:val="22"/>
        </w:rPr>
        <w:t>Docket No. 44941—</w:t>
      </w:r>
      <w:r w:rsidRPr="001F0D92">
        <w:rPr>
          <w:bCs/>
          <w:i/>
          <w:color w:val="000000"/>
          <w:sz w:val="22"/>
          <w:szCs w:val="22"/>
        </w:rPr>
        <w:t>Application of El Paso Electric Company to Change Rates</w:t>
      </w:r>
      <w:r w:rsidRPr="001F0D92">
        <w:rPr>
          <w:b/>
          <w:bCs/>
          <w:color w:val="000000"/>
          <w:sz w:val="22"/>
          <w:szCs w:val="22"/>
        </w:rPr>
        <w:t>—</w:t>
      </w:r>
      <w:r w:rsidRPr="001F0D92">
        <w:rPr>
          <w:bCs/>
          <w:color w:val="000000"/>
          <w:sz w:val="22"/>
          <w:szCs w:val="22"/>
        </w:rPr>
        <w:t>December 18, 2015 (Direct) and January 15, 2016 (Cross-Rebuttal).</w:t>
      </w:r>
    </w:p>
    <w:p w:rsidR="003153B5" w:rsidRPr="001F0D92" w:rsidRDefault="003153B5" w:rsidP="003153B5">
      <w:pPr>
        <w:spacing w:line="480" w:lineRule="auto"/>
        <w:jc w:val="both"/>
        <w:rPr>
          <w:b/>
          <w:bCs/>
          <w:color w:val="000000"/>
          <w:sz w:val="22"/>
          <w:szCs w:val="22"/>
        </w:rPr>
      </w:pPr>
      <w:r w:rsidRPr="001F0D92">
        <w:rPr>
          <w:b/>
          <w:bCs/>
          <w:color w:val="000000"/>
          <w:sz w:val="22"/>
          <w:szCs w:val="22"/>
        </w:rPr>
        <w:t>Docket No. 45084—</w:t>
      </w:r>
      <w:r w:rsidRPr="001F0D92">
        <w:rPr>
          <w:bCs/>
          <w:i/>
          <w:color w:val="000000"/>
          <w:sz w:val="22"/>
          <w:szCs w:val="22"/>
        </w:rPr>
        <w:t>Application of Entergy Texas, Inc. for Approval of a Transmission Cost Recovery Factor</w:t>
      </w:r>
      <w:r w:rsidRPr="001F0D92">
        <w:rPr>
          <w:b/>
          <w:bCs/>
          <w:color w:val="000000"/>
          <w:sz w:val="22"/>
          <w:szCs w:val="22"/>
        </w:rPr>
        <w:t>—</w:t>
      </w:r>
      <w:r w:rsidRPr="001F0D92">
        <w:rPr>
          <w:bCs/>
          <w:color w:val="000000"/>
          <w:sz w:val="22"/>
          <w:szCs w:val="22"/>
        </w:rPr>
        <w:t>November 24, 2015.</w:t>
      </w:r>
    </w:p>
    <w:p w:rsidR="003153B5" w:rsidRPr="001F0D92" w:rsidRDefault="003153B5" w:rsidP="003153B5">
      <w:pPr>
        <w:spacing w:line="480" w:lineRule="auto"/>
        <w:jc w:val="both"/>
        <w:rPr>
          <w:bCs/>
          <w:i/>
          <w:color w:val="000000"/>
          <w:sz w:val="22"/>
          <w:szCs w:val="22"/>
        </w:rPr>
      </w:pPr>
      <w:r w:rsidRPr="001F0D92">
        <w:rPr>
          <w:b/>
          <w:bCs/>
          <w:color w:val="000000"/>
          <w:sz w:val="22"/>
          <w:szCs w:val="22"/>
        </w:rPr>
        <w:t>Docket No. 44698—</w:t>
      </w:r>
      <w:r w:rsidRPr="001F0D92">
        <w:rPr>
          <w:bCs/>
          <w:i/>
          <w:color w:val="000000"/>
          <w:sz w:val="22"/>
          <w:szCs w:val="22"/>
        </w:rPr>
        <w:t>Application of Southwestern Public Service Company to Adjust its Energy Efficiency Cost Recovery Factor</w:t>
      </w:r>
      <w:r w:rsidRPr="001F0D92">
        <w:rPr>
          <w:b/>
          <w:bCs/>
          <w:color w:val="000000"/>
          <w:sz w:val="22"/>
          <w:szCs w:val="22"/>
        </w:rPr>
        <w:t>—</w:t>
      </w:r>
      <w:r w:rsidRPr="001F0D92">
        <w:rPr>
          <w:bCs/>
          <w:i/>
          <w:color w:val="000000"/>
          <w:sz w:val="22"/>
          <w:szCs w:val="22"/>
        </w:rPr>
        <w:t xml:space="preserve"> </w:t>
      </w:r>
      <w:r w:rsidRPr="001F0D92">
        <w:rPr>
          <w:bCs/>
          <w:color w:val="000000"/>
          <w:sz w:val="22"/>
          <w:szCs w:val="22"/>
        </w:rPr>
        <w:t>July 31, 2015 (Direct); and August 11, 2015 (Cross-Rebuttal).</w:t>
      </w:r>
    </w:p>
    <w:p w:rsidR="003153B5" w:rsidRPr="001F0D92" w:rsidRDefault="003153B5" w:rsidP="003153B5">
      <w:pPr>
        <w:spacing w:line="480" w:lineRule="auto"/>
        <w:jc w:val="both"/>
        <w:rPr>
          <w:bCs/>
          <w:color w:val="000000"/>
          <w:sz w:val="22"/>
          <w:szCs w:val="22"/>
        </w:rPr>
      </w:pPr>
      <w:r w:rsidRPr="001F0D92">
        <w:rPr>
          <w:b/>
          <w:bCs/>
          <w:color w:val="000000"/>
          <w:sz w:val="22"/>
          <w:szCs w:val="22"/>
        </w:rPr>
        <w:t>Docket No. 43695—</w:t>
      </w:r>
      <w:r w:rsidRPr="001F0D92">
        <w:rPr>
          <w:bCs/>
          <w:i/>
          <w:color w:val="000000"/>
          <w:sz w:val="22"/>
          <w:szCs w:val="22"/>
        </w:rPr>
        <w:t>Application of Southwestern Public Service Company for Authority to Change Rates</w:t>
      </w:r>
      <w:r w:rsidRPr="001F0D92">
        <w:rPr>
          <w:b/>
          <w:bCs/>
          <w:color w:val="000000"/>
          <w:sz w:val="22"/>
          <w:szCs w:val="22"/>
        </w:rPr>
        <w:t>—</w:t>
      </w:r>
      <w:r w:rsidRPr="001F0D92">
        <w:rPr>
          <w:bCs/>
          <w:i/>
          <w:color w:val="000000"/>
          <w:sz w:val="22"/>
          <w:szCs w:val="22"/>
        </w:rPr>
        <w:t xml:space="preserve"> </w:t>
      </w:r>
      <w:r w:rsidRPr="001F0D92">
        <w:rPr>
          <w:bCs/>
          <w:color w:val="000000"/>
          <w:sz w:val="22"/>
          <w:szCs w:val="22"/>
        </w:rPr>
        <w:t>May 22, 2015 (Direct); and June 8, 2015 (Cross-Rebuttal).</w:t>
      </w:r>
    </w:p>
    <w:p w:rsidR="003153B5" w:rsidRPr="001F0D92" w:rsidRDefault="003153B5" w:rsidP="003153B5">
      <w:pPr>
        <w:spacing w:line="480" w:lineRule="auto"/>
        <w:jc w:val="both"/>
        <w:rPr>
          <w:bCs/>
          <w:color w:val="000000"/>
          <w:sz w:val="22"/>
          <w:szCs w:val="22"/>
        </w:rPr>
      </w:pPr>
      <w:r w:rsidRPr="001F0D92">
        <w:rPr>
          <w:b/>
          <w:bCs/>
          <w:color w:val="000000"/>
          <w:sz w:val="22"/>
          <w:szCs w:val="22"/>
        </w:rPr>
        <w:t>Docket No. 44496—</w:t>
      </w:r>
      <w:r w:rsidRPr="001F0D92">
        <w:rPr>
          <w:bCs/>
          <w:i/>
          <w:color w:val="000000"/>
          <w:sz w:val="22"/>
          <w:szCs w:val="22"/>
        </w:rPr>
        <w:t>Application of Southwestern Electric Power Company for Approval to Amend its Transmission Cost Recovery Factor</w:t>
      </w:r>
      <w:r w:rsidRPr="001F0D92">
        <w:rPr>
          <w:b/>
          <w:bCs/>
          <w:color w:val="000000"/>
          <w:sz w:val="22"/>
          <w:szCs w:val="22"/>
        </w:rPr>
        <w:t>—</w:t>
      </w:r>
      <w:r w:rsidRPr="001F0D92">
        <w:rPr>
          <w:bCs/>
          <w:i/>
          <w:color w:val="000000"/>
          <w:sz w:val="22"/>
          <w:szCs w:val="22"/>
        </w:rPr>
        <w:t xml:space="preserve"> </w:t>
      </w:r>
      <w:r w:rsidRPr="001F0D92">
        <w:rPr>
          <w:bCs/>
          <w:color w:val="000000"/>
          <w:sz w:val="22"/>
          <w:szCs w:val="22"/>
        </w:rPr>
        <w:t>May 22, 2015.</w:t>
      </w:r>
    </w:p>
    <w:p w:rsidR="003153B5" w:rsidRPr="001F0D92" w:rsidRDefault="003153B5" w:rsidP="003153B5">
      <w:pPr>
        <w:spacing w:line="480" w:lineRule="auto"/>
        <w:jc w:val="both"/>
        <w:rPr>
          <w:b/>
          <w:bCs/>
          <w:color w:val="000000"/>
          <w:sz w:val="22"/>
          <w:szCs w:val="22"/>
        </w:rPr>
      </w:pPr>
      <w:r w:rsidRPr="001F0D92">
        <w:rPr>
          <w:b/>
          <w:bCs/>
          <w:color w:val="000000"/>
          <w:sz w:val="22"/>
          <w:szCs w:val="22"/>
        </w:rPr>
        <w:t>Docket No. 42560—</w:t>
      </w:r>
      <w:r w:rsidRPr="001F0D92">
        <w:rPr>
          <w:bCs/>
          <w:i/>
          <w:color w:val="000000"/>
          <w:sz w:val="22"/>
          <w:szCs w:val="22"/>
        </w:rPr>
        <w:t>Application of CenterPoint Energy Houston Electric, LLC for Approval of an Adjustment to its Energy Efficiency Cost Recovery Factor</w:t>
      </w:r>
      <w:r w:rsidRPr="001F0D92">
        <w:rPr>
          <w:b/>
          <w:bCs/>
          <w:color w:val="000000"/>
          <w:sz w:val="22"/>
          <w:szCs w:val="22"/>
        </w:rPr>
        <w:t>—</w:t>
      </w:r>
      <w:r w:rsidRPr="00EB73BD">
        <w:rPr>
          <w:bCs/>
          <w:color w:val="000000"/>
          <w:sz w:val="22"/>
          <w:szCs w:val="22"/>
        </w:rPr>
        <w:t>August 7, 2014.</w:t>
      </w:r>
    </w:p>
    <w:p w:rsidR="003153B5" w:rsidRPr="001F0D92" w:rsidRDefault="003153B5" w:rsidP="003153B5">
      <w:pPr>
        <w:spacing w:line="480" w:lineRule="auto"/>
        <w:jc w:val="both"/>
        <w:rPr>
          <w:bCs/>
          <w:i/>
          <w:color w:val="000000"/>
          <w:sz w:val="22"/>
          <w:szCs w:val="22"/>
        </w:rPr>
      </w:pPr>
      <w:r w:rsidRPr="001F0D92">
        <w:rPr>
          <w:b/>
          <w:bCs/>
          <w:color w:val="000000"/>
          <w:sz w:val="22"/>
          <w:szCs w:val="22"/>
        </w:rPr>
        <w:lastRenderedPageBreak/>
        <w:t>Docket No. 42448</w:t>
      </w:r>
      <w:r w:rsidRPr="001F0D92">
        <w:rPr>
          <w:bCs/>
          <w:i/>
          <w:color w:val="000000"/>
          <w:sz w:val="22"/>
          <w:szCs w:val="22"/>
        </w:rPr>
        <w:t>—Application of Southwestern Electric Power Company for Approval of a Transmission Cost Recovery Factor</w:t>
      </w:r>
      <w:r w:rsidRPr="00EB73BD">
        <w:rPr>
          <w:bCs/>
          <w:color w:val="000000"/>
          <w:sz w:val="22"/>
          <w:szCs w:val="22"/>
        </w:rPr>
        <w:t>—July 31, 2014.</w:t>
      </w:r>
    </w:p>
    <w:p w:rsidR="003153B5" w:rsidRPr="001F0D92" w:rsidRDefault="003153B5" w:rsidP="003153B5">
      <w:pPr>
        <w:spacing w:line="480" w:lineRule="auto"/>
        <w:jc w:val="both"/>
        <w:rPr>
          <w:bCs/>
          <w:color w:val="000000"/>
          <w:sz w:val="22"/>
          <w:szCs w:val="22"/>
        </w:rPr>
      </w:pPr>
      <w:r w:rsidRPr="001F0D92">
        <w:rPr>
          <w:b/>
          <w:bCs/>
          <w:color w:val="000000"/>
          <w:sz w:val="22"/>
          <w:szCs w:val="22"/>
        </w:rPr>
        <w:t>Docket No. 42454</w:t>
      </w:r>
      <w:r w:rsidRPr="001F0D92">
        <w:rPr>
          <w:bCs/>
          <w:color w:val="000000"/>
          <w:sz w:val="22"/>
          <w:szCs w:val="22"/>
        </w:rPr>
        <w:t>—</w:t>
      </w:r>
      <w:r w:rsidRPr="001F0D92">
        <w:rPr>
          <w:bCs/>
          <w:i/>
          <w:color w:val="000000"/>
          <w:sz w:val="22"/>
          <w:szCs w:val="22"/>
        </w:rPr>
        <w:t>Application of Southwestern Public Service Company to Adjust its Energy Efficiency Cost Recovery Factor</w:t>
      </w:r>
      <w:r w:rsidRPr="001F0D92">
        <w:rPr>
          <w:bCs/>
          <w:color w:val="000000"/>
          <w:sz w:val="22"/>
          <w:szCs w:val="22"/>
        </w:rPr>
        <w:t>—</w:t>
      </w:r>
      <w:r w:rsidRPr="00EB73BD">
        <w:rPr>
          <w:bCs/>
          <w:color w:val="000000"/>
          <w:sz w:val="22"/>
          <w:szCs w:val="22"/>
        </w:rPr>
        <w:t>July 11, 2014.</w:t>
      </w:r>
    </w:p>
    <w:p w:rsidR="003153B5" w:rsidRPr="00EB73BD" w:rsidRDefault="003153B5" w:rsidP="003153B5">
      <w:pPr>
        <w:spacing w:line="480" w:lineRule="auto"/>
        <w:jc w:val="both"/>
        <w:rPr>
          <w:bCs/>
          <w:color w:val="000000"/>
          <w:sz w:val="22"/>
          <w:szCs w:val="22"/>
        </w:rPr>
      </w:pPr>
      <w:r w:rsidRPr="001F0D92">
        <w:rPr>
          <w:b/>
          <w:bCs/>
          <w:color w:val="000000"/>
          <w:sz w:val="22"/>
          <w:szCs w:val="22"/>
        </w:rPr>
        <w:t>Docket No. 42042</w:t>
      </w:r>
      <w:r w:rsidRPr="001F0D92">
        <w:rPr>
          <w:bCs/>
          <w:color w:val="000000"/>
          <w:sz w:val="22"/>
          <w:szCs w:val="22"/>
        </w:rPr>
        <w:t>—</w:t>
      </w:r>
      <w:r w:rsidRPr="001F0D92">
        <w:rPr>
          <w:bCs/>
          <w:i/>
          <w:color w:val="000000"/>
          <w:sz w:val="22"/>
          <w:szCs w:val="22"/>
        </w:rPr>
        <w:t>Application of Southwestern Public Service Company for Approval of a Transmission Cost Recovery Factor—</w:t>
      </w:r>
      <w:r w:rsidRPr="00EB73BD">
        <w:rPr>
          <w:bCs/>
          <w:color w:val="000000"/>
          <w:sz w:val="22"/>
          <w:szCs w:val="22"/>
        </w:rPr>
        <w:t>May 1, 2014.</w:t>
      </w:r>
    </w:p>
    <w:p w:rsidR="003153B5" w:rsidRPr="00EB73BD" w:rsidRDefault="003153B5" w:rsidP="003153B5">
      <w:pPr>
        <w:spacing w:line="480" w:lineRule="auto"/>
        <w:jc w:val="both"/>
        <w:rPr>
          <w:bCs/>
          <w:color w:val="000000"/>
          <w:sz w:val="22"/>
          <w:szCs w:val="22"/>
        </w:rPr>
      </w:pPr>
      <w:r w:rsidRPr="001F0D92">
        <w:rPr>
          <w:b/>
          <w:bCs/>
          <w:color w:val="000000"/>
          <w:sz w:val="22"/>
          <w:szCs w:val="22"/>
        </w:rPr>
        <w:t>Docket No. 41791</w:t>
      </w:r>
      <w:r w:rsidRPr="001F0D92">
        <w:rPr>
          <w:bCs/>
          <w:i/>
          <w:color w:val="000000"/>
          <w:sz w:val="22"/>
          <w:szCs w:val="22"/>
        </w:rPr>
        <w:t>—Application of Entergy Texas, Inc. for Authority to Change Rates and Reconcile Fuel Costs—</w:t>
      </w:r>
      <w:r w:rsidRPr="00EB73BD">
        <w:rPr>
          <w:bCs/>
          <w:color w:val="000000"/>
          <w:sz w:val="22"/>
          <w:szCs w:val="22"/>
        </w:rPr>
        <w:t>January 17 (Direct), January 31 (Cross-Rebuttal), and April 4 (Supplemental), 2014.</w:t>
      </w:r>
    </w:p>
    <w:p w:rsidR="003153B5" w:rsidRPr="001F0D92" w:rsidRDefault="003153B5" w:rsidP="003153B5">
      <w:pPr>
        <w:spacing w:line="480" w:lineRule="auto"/>
        <w:jc w:val="both"/>
        <w:rPr>
          <w:bCs/>
          <w:color w:val="000000"/>
          <w:sz w:val="22"/>
          <w:szCs w:val="22"/>
        </w:rPr>
      </w:pPr>
      <w:r w:rsidRPr="001F0D92">
        <w:rPr>
          <w:b/>
          <w:bCs/>
          <w:color w:val="000000"/>
          <w:sz w:val="22"/>
          <w:szCs w:val="22"/>
        </w:rPr>
        <w:t>Docket No. 41474</w:t>
      </w:r>
      <w:r w:rsidRPr="001F0D92">
        <w:rPr>
          <w:bCs/>
          <w:color w:val="000000"/>
          <w:sz w:val="22"/>
          <w:szCs w:val="22"/>
        </w:rPr>
        <w:t>—</w:t>
      </w:r>
      <w:r w:rsidRPr="001F0D92">
        <w:rPr>
          <w:bCs/>
          <w:i/>
          <w:color w:val="000000"/>
          <w:sz w:val="22"/>
          <w:szCs w:val="22"/>
        </w:rPr>
        <w:t>Application of Sharyland Utilities, L.P. to Establish Retail Delivery Rates, Approve Tariff for Retail Delivery Service, and Adjust Wholesale Transmission Rate—</w:t>
      </w:r>
      <w:r w:rsidRPr="00EB73BD">
        <w:rPr>
          <w:bCs/>
          <w:color w:val="000000"/>
          <w:sz w:val="22"/>
          <w:szCs w:val="22"/>
        </w:rPr>
        <w:t>October 28 (Direct) and December 20, 2013 (Settlement).</w:t>
      </w:r>
    </w:p>
    <w:p w:rsidR="003153B5" w:rsidRPr="001F0D92" w:rsidRDefault="003153B5" w:rsidP="003153B5">
      <w:pPr>
        <w:spacing w:line="480" w:lineRule="auto"/>
        <w:jc w:val="both"/>
        <w:rPr>
          <w:bCs/>
          <w:i/>
          <w:color w:val="000000"/>
          <w:sz w:val="22"/>
          <w:szCs w:val="22"/>
        </w:rPr>
      </w:pPr>
      <w:r w:rsidRPr="001F0D92">
        <w:rPr>
          <w:b/>
          <w:bCs/>
          <w:color w:val="000000"/>
          <w:sz w:val="22"/>
          <w:szCs w:val="22"/>
        </w:rPr>
        <w:t>Docket No. 41444</w:t>
      </w:r>
      <w:r w:rsidRPr="001F0D92">
        <w:rPr>
          <w:bCs/>
          <w:i/>
          <w:color w:val="000000"/>
          <w:sz w:val="22"/>
          <w:szCs w:val="22"/>
        </w:rPr>
        <w:t>—Application of Entergy Texas, Inc. for Authority to Redetermine Rates for Energy Efficiency Cost Recovery Factor—</w:t>
      </w:r>
      <w:r w:rsidRPr="00EB73BD">
        <w:rPr>
          <w:bCs/>
          <w:color w:val="000000"/>
          <w:sz w:val="22"/>
          <w:szCs w:val="22"/>
        </w:rPr>
        <w:t>July 26, 2013.</w:t>
      </w:r>
    </w:p>
    <w:p w:rsidR="003153B5" w:rsidRPr="001F0D92" w:rsidRDefault="003153B5" w:rsidP="003153B5">
      <w:pPr>
        <w:spacing w:line="480" w:lineRule="auto"/>
        <w:jc w:val="both"/>
        <w:rPr>
          <w:b/>
          <w:bCs/>
          <w:color w:val="000000"/>
          <w:sz w:val="22"/>
          <w:szCs w:val="22"/>
        </w:rPr>
      </w:pPr>
      <w:r w:rsidRPr="001F0D92">
        <w:rPr>
          <w:b/>
          <w:bCs/>
          <w:color w:val="000000"/>
          <w:sz w:val="22"/>
          <w:szCs w:val="22"/>
        </w:rPr>
        <w:t>Docket No. 40627</w:t>
      </w:r>
      <w:r w:rsidRPr="001F0D92">
        <w:rPr>
          <w:bCs/>
          <w:color w:val="000000"/>
          <w:sz w:val="22"/>
          <w:szCs w:val="22"/>
        </w:rPr>
        <w:t>—</w:t>
      </w:r>
      <w:r w:rsidRPr="001F0D92">
        <w:rPr>
          <w:bCs/>
          <w:i/>
          <w:color w:val="000000"/>
          <w:sz w:val="22"/>
          <w:szCs w:val="22"/>
        </w:rPr>
        <w:t>Petition by Homeowners United for Rate Fairness to Review Austin Rate Ordinance No. 20120607-05</w:t>
      </w:r>
      <w:r w:rsidRPr="001F0D92">
        <w:rPr>
          <w:bCs/>
          <w:color w:val="000000"/>
          <w:sz w:val="22"/>
          <w:szCs w:val="22"/>
        </w:rPr>
        <w:t>—</w:t>
      </w:r>
      <w:r w:rsidRPr="00EB73BD">
        <w:rPr>
          <w:bCs/>
          <w:color w:val="000000"/>
          <w:sz w:val="22"/>
          <w:szCs w:val="22"/>
        </w:rPr>
        <w:t>February 14, 2013.</w:t>
      </w:r>
    </w:p>
    <w:p w:rsidR="003153B5" w:rsidRPr="001F0D92" w:rsidRDefault="003153B5" w:rsidP="003153B5">
      <w:pPr>
        <w:spacing w:line="480" w:lineRule="auto"/>
        <w:jc w:val="both"/>
        <w:rPr>
          <w:bCs/>
          <w:i/>
          <w:color w:val="000000"/>
          <w:sz w:val="22"/>
          <w:szCs w:val="22"/>
        </w:rPr>
      </w:pPr>
      <w:r w:rsidRPr="001F0D92">
        <w:rPr>
          <w:b/>
          <w:bCs/>
          <w:color w:val="000000"/>
          <w:sz w:val="22"/>
          <w:szCs w:val="22"/>
        </w:rPr>
        <w:t>Docket No. 40443</w:t>
      </w:r>
      <w:r w:rsidRPr="001F0D92">
        <w:rPr>
          <w:bCs/>
          <w:color w:val="000000"/>
          <w:sz w:val="22"/>
          <w:szCs w:val="22"/>
        </w:rPr>
        <w:t>—</w:t>
      </w:r>
      <w:r w:rsidRPr="001F0D92">
        <w:rPr>
          <w:bCs/>
          <w:i/>
          <w:color w:val="000000"/>
          <w:sz w:val="22"/>
          <w:szCs w:val="22"/>
        </w:rPr>
        <w:t>Application of Southwestern Electric Power Company for Authority to Change Rates and Reconcile Fuel Costs—</w:t>
      </w:r>
      <w:r w:rsidRPr="00EB73BD">
        <w:rPr>
          <w:bCs/>
          <w:color w:val="000000"/>
          <w:sz w:val="22"/>
          <w:szCs w:val="22"/>
        </w:rPr>
        <w:t>December 17, 2012.</w:t>
      </w:r>
    </w:p>
    <w:p w:rsidR="003153B5" w:rsidRPr="001F0D92" w:rsidRDefault="003153B5" w:rsidP="003153B5">
      <w:pPr>
        <w:spacing w:line="480" w:lineRule="auto"/>
        <w:jc w:val="both"/>
        <w:rPr>
          <w:bCs/>
          <w:i/>
          <w:color w:val="000000"/>
          <w:sz w:val="22"/>
          <w:szCs w:val="22"/>
        </w:rPr>
      </w:pPr>
      <w:r w:rsidRPr="001F0D92">
        <w:rPr>
          <w:b/>
          <w:bCs/>
          <w:color w:val="000000"/>
          <w:sz w:val="22"/>
          <w:szCs w:val="22"/>
        </w:rPr>
        <w:t>Docket No. 40295</w:t>
      </w:r>
      <w:r w:rsidRPr="001F0D92">
        <w:rPr>
          <w:bCs/>
          <w:color w:val="000000"/>
          <w:sz w:val="22"/>
          <w:szCs w:val="22"/>
        </w:rPr>
        <w:t>—</w:t>
      </w:r>
      <w:r w:rsidRPr="001F0D92">
        <w:rPr>
          <w:bCs/>
          <w:i/>
          <w:color w:val="000000"/>
          <w:sz w:val="22"/>
          <w:szCs w:val="22"/>
        </w:rPr>
        <w:t>Application of Entergy Texas, Inc., for Rate Case Expenses Severed from PUC Docket No. 39896; SOAH Docket No. 473-12-2979—</w:t>
      </w:r>
      <w:r w:rsidRPr="00EB73BD">
        <w:rPr>
          <w:bCs/>
          <w:color w:val="000000"/>
          <w:sz w:val="22"/>
          <w:szCs w:val="22"/>
        </w:rPr>
        <w:t>November 6, 2012.</w:t>
      </w:r>
    </w:p>
    <w:p w:rsidR="003153B5" w:rsidRPr="001F0D92" w:rsidRDefault="003153B5" w:rsidP="003153B5">
      <w:pPr>
        <w:spacing w:line="480" w:lineRule="auto"/>
        <w:jc w:val="both"/>
        <w:rPr>
          <w:bCs/>
          <w:i/>
          <w:color w:val="000000"/>
          <w:sz w:val="22"/>
          <w:szCs w:val="22"/>
        </w:rPr>
      </w:pPr>
      <w:r w:rsidRPr="001F0D92">
        <w:rPr>
          <w:b/>
          <w:bCs/>
          <w:color w:val="000000"/>
          <w:sz w:val="22"/>
          <w:szCs w:val="22"/>
        </w:rPr>
        <w:t>Docket No. 40020</w:t>
      </w:r>
      <w:r w:rsidRPr="001F0D92">
        <w:rPr>
          <w:bCs/>
          <w:color w:val="000000"/>
          <w:sz w:val="22"/>
          <w:szCs w:val="22"/>
        </w:rPr>
        <w:t>—</w:t>
      </w:r>
      <w:r w:rsidRPr="001F0D92">
        <w:rPr>
          <w:bCs/>
          <w:i/>
          <w:color w:val="000000"/>
          <w:sz w:val="22"/>
          <w:szCs w:val="22"/>
        </w:rPr>
        <w:t>Application of Lone Star Transmission, LLC for Authority to Establish Interim and Final Rates and Tariffs—</w:t>
      </w:r>
      <w:r w:rsidRPr="00EB73BD">
        <w:rPr>
          <w:bCs/>
          <w:color w:val="000000"/>
          <w:sz w:val="22"/>
          <w:szCs w:val="22"/>
        </w:rPr>
        <w:t>June 28, 2012.</w:t>
      </w:r>
    </w:p>
    <w:p w:rsidR="003153B5" w:rsidRPr="001F0D92" w:rsidRDefault="003153B5" w:rsidP="003153B5">
      <w:pPr>
        <w:spacing w:line="480" w:lineRule="auto"/>
        <w:jc w:val="both"/>
        <w:rPr>
          <w:b/>
          <w:bCs/>
          <w:i/>
          <w:color w:val="000000"/>
          <w:sz w:val="22"/>
          <w:szCs w:val="22"/>
        </w:rPr>
      </w:pPr>
      <w:r w:rsidRPr="001F0D92">
        <w:rPr>
          <w:b/>
          <w:bCs/>
          <w:color w:val="000000"/>
          <w:sz w:val="22"/>
          <w:szCs w:val="22"/>
        </w:rPr>
        <w:lastRenderedPageBreak/>
        <w:t>Docket No. 39590</w:t>
      </w:r>
      <w:r w:rsidRPr="001F0D92">
        <w:rPr>
          <w:bCs/>
          <w:color w:val="000000"/>
          <w:sz w:val="22"/>
          <w:szCs w:val="22"/>
        </w:rPr>
        <w:t>—</w:t>
      </w:r>
      <w:r w:rsidRPr="001F0D92">
        <w:rPr>
          <w:bCs/>
          <w:i/>
          <w:color w:val="000000"/>
          <w:sz w:val="22"/>
          <w:szCs w:val="22"/>
        </w:rPr>
        <w:t>Petition of El Paso Electric Company for Approval to Revise Military Base Discount Recovery Factor Tariff, Pursuant to PURA § 36.354—</w:t>
      </w:r>
      <w:r w:rsidRPr="00EB73BD">
        <w:rPr>
          <w:bCs/>
          <w:color w:val="000000"/>
          <w:sz w:val="22"/>
          <w:szCs w:val="22"/>
        </w:rPr>
        <w:t>October 26, 2011.</w:t>
      </w:r>
    </w:p>
    <w:p w:rsidR="003153B5" w:rsidRPr="001F0D92" w:rsidRDefault="003153B5" w:rsidP="003153B5">
      <w:pPr>
        <w:spacing w:line="480" w:lineRule="auto"/>
        <w:jc w:val="both"/>
        <w:rPr>
          <w:bCs/>
          <w:color w:val="000000"/>
          <w:sz w:val="22"/>
          <w:szCs w:val="22"/>
        </w:rPr>
      </w:pPr>
      <w:r w:rsidRPr="001F0D92">
        <w:rPr>
          <w:b/>
          <w:bCs/>
          <w:color w:val="000000"/>
          <w:sz w:val="22"/>
          <w:szCs w:val="22"/>
        </w:rPr>
        <w:t>Docket No. 39361</w:t>
      </w:r>
      <w:r w:rsidRPr="001F0D92">
        <w:rPr>
          <w:bCs/>
          <w:color w:val="000000"/>
          <w:sz w:val="22"/>
          <w:szCs w:val="22"/>
        </w:rPr>
        <w:t>—</w:t>
      </w:r>
      <w:r w:rsidRPr="001F0D92">
        <w:rPr>
          <w:bCs/>
          <w:i/>
          <w:color w:val="000000"/>
          <w:sz w:val="22"/>
          <w:szCs w:val="22"/>
        </w:rPr>
        <w:t>Application of AEP Texas North Company to Adjust Energy Efficiency Cost Recovery Factor and Related Relief—</w:t>
      </w:r>
      <w:r w:rsidRPr="00EB73BD">
        <w:rPr>
          <w:bCs/>
          <w:color w:val="000000"/>
          <w:sz w:val="22"/>
          <w:szCs w:val="22"/>
        </w:rPr>
        <w:t>August 2, 2011</w:t>
      </w:r>
      <w:r w:rsidRPr="001F0D92">
        <w:rPr>
          <w:bCs/>
          <w:i/>
          <w:color w:val="000000"/>
          <w:sz w:val="22"/>
          <w:szCs w:val="22"/>
        </w:rPr>
        <w:t>.</w:t>
      </w:r>
    </w:p>
    <w:p w:rsidR="003153B5" w:rsidRPr="00EB73BD" w:rsidRDefault="003153B5" w:rsidP="003153B5">
      <w:pPr>
        <w:spacing w:line="480" w:lineRule="auto"/>
        <w:jc w:val="both"/>
        <w:rPr>
          <w:bCs/>
          <w:color w:val="000000"/>
          <w:sz w:val="22"/>
          <w:szCs w:val="22"/>
        </w:rPr>
      </w:pPr>
      <w:r w:rsidRPr="001F0D92">
        <w:rPr>
          <w:b/>
          <w:bCs/>
          <w:color w:val="000000"/>
          <w:sz w:val="22"/>
          <w:szCs w:val="22"/>
        </w:rPr>
        <w:t>Docket No. 39359</w:t>
      </w:r>
      <w:r w:rsidRPr="001F0D92">
        <w:rPr>
          <w:bCs/>
          <w:color w:val="000000"/>
          <w:sz w:val="22"/>
          <w:szCs w:val="22"/>
        </w:rPr>
        <w:t>—</w:t>
      </w:r>
      <w:r w:rsidRPr="001F0D92">
        <w:rPr>
          <w:bCs/>
          <w:i/>
          <w:color w:val="000000"/>
          <w:sz w:val="22"/>
          <w:szCs w:val="22"/>
        </w:rPr>
        <w:t>Application of Southwestern Electric Power Company to Adjust Energy Efficiency Cost Recovery Factor and Related Relief—</w:t>
      </w:r>
      <w:r w:rsidRPr="00EB73BD">
        <w:rPr>
          <w:bCs/>
          <w:color w:val="000000"/>
          <w:sz w:val="22"/>
          <w:szCs w:val="22"/>
        </w:rPr>
        <w:t>July 29, 2011.</w:t>
      </w:r>
    </w:p>
    <w:p w:rsidR="003153B5" w:rsidRDefault="003153B5" w:rsidP="003153B5">
      <w:pPr>
        <w:spacing w:line="480" w:lineRule="auto"/>
        <w:jc w:val="both"/>
        <w:rPr>
          <w:bCs/>
          <w:i/>
          <w:color w:val="000000"/>
          <w:sz w:val="22"/>
          <w:szCs w:val="22"/>
        </w:rPr>
      </w:pPr>
      <w:r w:rsidRPr="001F0D92">
        <w:rPr>
          <w:b/>
          <w:bCs/>
          <w:color w:val="000000"/>
          <w:sz w:val="22"/>
          <w:szCs w:val="22"/>
        </w:rPr>
        <w:t>Docket No. 39360</w:t>
      </w:r>
      <w:r w:rsidRPr="001F0D92">
        <w:rPr>
          <w:bCs/>
          <w:color w:val="000000"/>
          <w:sz w:val="22"/>
          <w:szCs w:val="22"/>
        </w:rPr>
        <w:t>—</w:t>
      </w:r>
      <w:r w:rsidRPr="001F0D92">
        <w:rPr>
          <w:bCs/>
          <w:i/>
          <w:color w:val="000000"/>
          <w:sz w:val="22"/>
          <w:szCs w:val="22"/>
        </w:rPr>
        <w:t>Application of AEP Texas Central Company to Adjust Energy Efficiency Cost Recovery Factor and Related Relief—</w:t>
      </w:r>
      <w:r w:rsidRPr="00EB73BD">
        <w:rPr>
          <w:bCs/>
          <w:color w:val="000000"/>
          <w:sz w:val="22"/>
          <w:szCs w:val="22"/>
        </w:rPr>
        <w:t>July 27, 2011.</w:t>
      </w:r>
    </w:p>
    <w:p w:rsidR="003153B5" w:rsidRPr="00672049" w:rsidRDefault="003153B5" w:rsidP="003153B5">
      <w:pPr>
        <w:spacing w:line="480" w:lineRule="auto"/>
        <w:jc w:val="both"/>
        <w:rPr>
          <w:sz w:val="22"/>
          <w:szCs w:val="22"/>
        </w:rPr>
      </w:pPr>
    </w:p>
    <w:p w:rsidR="008057E9" w:rsidRDefault="008057E9" w:rsidP="003153B5">
      <w:pPr>
        <w:spacing w:line="480" w:lineRule="auto"/>
        <w:rPr>
          <w:b/>
          <w:sz w:val="22"/>
          <w:szCs w:val="22"/>
          <w:u w:val="single"/>
        </w:rPr>
      </w:pPr>
    </w:p>
    <w:p w:rsidR="008057E9" w:rsidRDefault="008057E9" w:rsidP="003153B5">
      <w:pPr>
        <w:spacing w:line="480" w:lineRule="auto"/>
        <w:rPr>
          <w:b/>
          <w:sz w:val="22"/>
          <w:szCs w:val="22"/>
          <w:u w:val="single"/>
        </w:rPr>
      </w:pPr>
    </w:p>
    <w:p w:rsidR="008057E9" w:rsidRDefault="008057E9" w:rsidP="003153B5">
      <w:pPr>
        <w:spacing w:line="480" w:lineRule="auto"/>
        <w:rPr>
          <w:b/>
          <w:sz w:val="22"/>
          <w:szCs w:val="22"/>
          <w:u w:val="single"/>
        </w:rPr>
      </w:pPr>
    </w:p>
    <w:p w:rsidR="003153B5" w:rsidRPr="00672049" w:rsidRDefault="003153B5" w:rsidP="003153B5">
      <w:pPr>
        <w:spacing w:line="480" w:lineRule="auto"/>
        <w:rPr>
          <w:b/>
          <w:sz w:val="22"/>
          <w:szCs w:val="22"/>
          <w:u w:val="single"/>
        </w:rPr>
      </w:pPr>
      <w:r w:rsidRPr="00672049">
        <w:rPr>
          <w:b/>
          <w:sz w:val="22"/>
          <w:szCs w:val="22"/>
          <w:u w:val="single"/>
        </w:rPr>
        <w:t>List of Testimony filed at the Maryland Public Service Commission</w:t>
      </w:r>
    </w:p>
    <w:p w:rsidR="003153B5" w:rsidRPr="00672049" w:rsidRDefault="003153B5" w:rsidP="003153B5">
      <w:pPr>
        <w:spacing w:line="480" w:lineRule="auto"/>
        <w:jc w:val="both"/>
        <w:rPr>
          <w:i/>
          <w:sz w:val="22"/>
          <w:szCs w:val="22"/>
        </w:rPr>
      </w:pPr>
      <w:r w:rsidRPr="00672049">
        <w:rPr>
          <w:b/>
          <w:sz w:val="22"/>
          <w:szCs w:val="22"/>
        </w:rPr>
        <w:t>Case No. 9472</w:t>
      </w:r>
      <w:r w:rsidRPr="00672049">
        <w:rPr>
          <w:sz w:val="22"/>
          <w:szCs w:val="22"/>
        </w:rPr>
        <w:t>—</w:t>
      </w:r>
      <w:r w:rsidRPr="00672049">
        <w:rPr>
          <w:i/>
          <w:sz w:val="22"/>
          <w:szCs w:val="22"/>
        </w:rPr>
        <w:t>In the Matter of the Application of Potomac Electric Power Company for</w:t>
      </w:r>
      <w:r>
        <w:rPr>
          <w:i/>
          <w:sz w:val="22"/>
          <w:szCs w:val="22"/>
        </w:rPr>
        <w:t xml:space="preserve"> </w:t>
      </w:r>
      <w:r w:rsidRPr="00672049">
        <w:rPr>
          <w:i/>
          <w:sz w:val="22"/>
          <w:szCs w:val="22"/>
        </w:rPr>
        <w:t>Adjustments to its Retail Rates for the Distribution of Electric Energy</w:t>
      </w:r>
      <w:r w:rsidRPr="00672049">
        <w:rPr>
          <w:sz w:val="22"/>
          <w:szCs w:val="22"/>
        </w:rPr>
        <w:t>—January 2, 2018 (Direct),</w:t>
      </w:r>
      <w:r>
        <w:rPr>
          <w:i/>
          <w:sz w:val="22"/>
          <w:szCs w:val="22"/>
        </w:rPr>
        <w:t xml:space="preserve"> </w:t>
      </w:r>
      <w:r w:rsidRPr="00672049">
        <w:rPr>
          <w:sz w:val="22"/>
          <w:szCs w:val="22"/>
        </w:rPr>
        <w:t>February 5, 2018 (Supplemental Direct), and March 8, 2018 (Additional Supplemental Direct).</w:t>
      </w:r>
    </w:p>
    <w:p w:rsidR="003153B5" w:rsidRPr="00672049" w:rsidRDefault="003153B5" w:rsidP="003153B5">
      <w:pPr>
        <w:spacing w:line="480" w:lineRule="auto"/>
        <w:rPr>
          <w:sz w:val="22"/>
          <w:szCs w:val="22"/>
        </w:rPr>
      </w:pPr>
    </w:p>
    <w:p w:rsidR="003153B5" w:rsidRPr="00672049" w:rsidRDefault="003153B5" w:rsidP="003153B5">
      <w:pPr>
        <w:spacing w:line="480" w:lineRule="auto"/>
        <w:rPr>
          <w:b/>
          <w:sz w:val="22"/>
          <w:szCs w:val="22"/>
          <w:u w:val="single"/>
        </w:rPr>
      </w:pPr>
      <w:r w:rsidRPr="00672049">
        <w:rPr>
          <w:b/>
          <w:sz w:val="22"/>
          <w:szCs w:val="22"/>
          <w:u w:val="single"/>
        </w:rPr>
        <w:t>List of Testimony filed at the District of Columbia Public Service Commission</w:t>
      </w:r>
    </w:p>
    <w:p w:rsidR="003153B5" w:rsidRPr="00672049" w:rsidRDefault="003153B5" w:rsidP="003153B5">
      <w:pPr>
        <w:spacing w:line="480" w:lineRule="auto"/>
        <w:jc w:val="both"/>
        <w:rPr>
          <w:i/>
          <w:sz w:val="22"/>
          <w:szCs w:val="22"/>
        </w:rPr>
      </w:pPr>
      <w:r w:rsidRPr="00672049">
        <w:rPr>
          <w:b/>
          <w:sz w:val="22"/>
          <w:szCs w:val="22"/>
        </w:rPr>
        <w:t>Formal Case No. 1150</w:t>
      </w:r>
      <w:r w:rsidRPr="00672049">
        <w:rPr>
          <w:sz w:val="22"/>
          <w:szCs w:val="22"/>
        </w:rPr>
        <w:t>—</w:t>
      </w:r>
      <w:r w:rsidRPr="00672049">
        <w:rPr>
          <w:i/>
          <w:sz w:val="22"/>
          <w:szCs w:val="22"/>
        </w:rPr>
        <w:t>In the Matter of the Application of Potomac Electric Power Company</w:t>
      </w:r>
    </w:p>
    <w:p w:rsidR="003153B5" w:rsidRDefault="003153B5" w:rsidP="003153B5">
      <w:pPr>
        <w:spacing w:line="480" w:lineRule="auto"/>
        <w:jc w:val="both"/>
        <w:rPr>
          <w:sz w:val="22"/>
          <w:szCs w:val="22"/>
        </w:rPr>
      </w:pPr>
      <w:r w:rsidRPr="00672049">
        <w:rPr>
          <w:i/>
          <w:sz w:val="22"/>
          <w:szCs w:val="22"/>
        </w:rPr>
        <w:lastRenderedPageBreak/>
        <w:t>for Authority to Increase Existing Retail Rates and Charges for Electric Distribution Service</w:t>
      </w:r>
      <w:r w:rsidRPr="00672049">
        <w:rPr>
          <w:sz w:val="22"/>
          <w:szCs w:val="22"/>
        </w:rPr>
        <w:t>—</w:t>
      </w:r>
      <w:r>
        <w:rPr>
          <w:sz w:val="22"/>
          <w:szCs w:val="22"/>
        </w:rPr>
        <w:t xml:space="preserve"> </w:t>
      </w:r>
      <w:r w:rsidRPr="00672049">
        <w:rPr>
          <w:sz w:val="22"/>
          <w:szCs w:val="22"/>
        </w:rPr>
        <w:t>December 19, 2017 (Direct), and February 9, 2018 (Supplemental Direct).</w:t>
      </w:r>
    </w:p>
    <w:p w:rsidR="003153B5" w:rsidRDefault="003153B5" w:rsidP="003153B5">
      <w:pPr>
        <w:spacing w:line="480" w:lineRule="auto"/>
        <w:jc w:val="both"/>
        <w:rPr>
          <w:sz w:val="22"/>
          <w:szCs w:val="22"/>
        </w:rPr>
        <w:sectPr w:rsidR="003153B5" w:rsidSect="00B25F84">
          <w:headerReference w:type="default" r:id="rId23"/>
          <w:pgSz w:w="12240" w:h="15840" w:code="1"/>
          <w:pgMar w:top="1440" w:right="1800" w:bottom="994" w:left="1800" w:header="720" w:footer="720" w:gutter="0"/>
          <w:pgNumType w:start="1"/>
          <w:cols w:space="720"/>
          <w:docGrid w:linePitch="272"/>
        </w:sectPr>
      </w:pPr>
    </w:p>
    <w:p w:rsidR="005E3C2F" w:rsidRDefault="005E3C2F" w:rsidP="00D7778A">
      <w:pPr>
        <w:jc w:val="both"/>
        <w:rPr>
          <w:sz w:val="24"/>
          <w:szCs w:val="24"/>
        </w:rPr>
      </w:pPr>
    </w:p>
    <w:p w:rsidR="008E4CF0" w:rsidRDefault="008E4CF0" w:rsidP="00A07225">
      <w:pPr>
        <w:spacing w:line="480" w:lineRule="auto"/>
        <w:rPr>
          <w:sz w:val="24"/>
          <w:szCs w:val="24"/>
        </w:rPr>
      </w:pPr>
      <w:r>
        <w:rPr>
          <w:sz w:val="24"/>
          <w:szCs w:val="24"/>
        </w:rPr>
        <w:t xml:space="preserve">Summary of Staff-Adjusted Wholesale Transmission </w:t>
      </w:r>
      <w:r w:rsidR="003D6691">
        <w:rPr>
          <w:sz w:val="24"/>
          <w:szCs w:val="24"/>
        </w:rPr>
        <w:t>Base Revenue Requirement</w:t>
      </w:r>
    </w:p>
    <w:p w:rsidR="0044538D" w:rsidRDefault="008E4CF0" w:rsidP="00A07225">
      <w:pPr>
        <w:spacing w:line="480" w:lineRule="auto"/>
        <w:jc w:val="center"/>
      </w:pPr>
      <w:r w:rsidRPr="008E4CF0">
        <w:rPr>
          <w:noProof/>
        </w:rPr>
        <w:drawing>
          <wp:inline distT="0" distB="0" distL="0" distR="0">
            <wp:extent cx="5342661" cy="6681457"/>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51974" cy="6693104"/>
                    </a:xfrm>
                    <a:prstGeom prst="rect">
                      <a:avLst/>
                    </a:prstGeom>
                    <a:noFill/>
                    <a:ln>
                      <a:noFill/>
                    </a:ln>
                  </pic:spPr>
                </pic:pic>
              </a:graphicData>
            </a:graphic>
          </wp:inline>
        </w:drawing>
      </w:r>
    </w:p>
    <w:p w:rsidR="003A5E9C" w:rsidRDefault="003A5E9C" w:rsidP="00DC718D">
      <w:pPr>
        <w:spacing w:line="480" w:lineRule="auto"/>
        <w:jc w:val="both"/>
      </w:pPr>
    </w:p>
    <w:p w:rsidR="00D27976" w:rsidRDefault="00D27976" w:rsidP="00DC718D">
      <w:pPr>
        <w:spacing w:line="480" w:lineRule="auto"/>
        <w:jc w:val="both"/>
      </w:pPr>
    </w:p>
    <w:p w:rsidR="00D27976" w:rsidRDefault="00D27976" w:rsidP="00DC718D">
      <w:pPr>
        <w:spacing w:line="480" w:lineRule="auto"/>
        <w:jc w:val="both"/>
        <w:sectPr w:rsidR="00D27976" w:rsidSect="00B25F84">
          <w:headerReference w:type="default" r:id="rId25"/>
          <w:pgSz w:w="12240" w:h="15840" w:code="1"/>
          <w:pgMar w:top="1440" w:right="1800" w:bottom="994" w:left="1800" w:header="720" w:footer="720" w:gutter="0"/>
          <w:pgNumType w:start="1"/>
          <w:cols w:space="720"/>
          <w:docGrid w:linePitch="272"/>
        </w:sectPr>
      </w:pPr>
    </w:p>
    <w:p w:rsidR="008E4CF0" w:rsidRDefault="008E4CF0" w:rsidP="008E4CF0">
      <w:pPr>
        <w:spacing w:line="480" w:lineRule="auto"/>
        <w:jc w:val="center"/>
      </w:pPr>
    </w:p>
    <w:p w:rsidR="00706F61" w:rsidRPr="008E4CF0" w:rsidRDefault="008E4CF0" w:rsidP="00A07225">
      <w:pPr>
        <w:spacing w:line="480" w:lineRule="auto"/>
        <w:rPr>
          <w:sz w:val="24"/>
          <w:szCs w:val="24"/>
        </w:rPr>
      </w:pPr>
      <w:r w:rsidRPr="008E4CF0">
        <w:rPr>
          <w:sz w:val="24"/>
          <w:szCs w:val="24"/>
        </w:rPr>
        <w:t>Summary of Staff-adjusted Retail Delivery Base Revenue Requirement</w:t>
      </w:r>
      <w:r w:rsidR="001F2AF0">
        <w:rPr>
          <w:sz w:val="24"/>
          <w:szCs w:val="24"/>
        </w:rPr>
        <w:t xml:space="preserve"> (</w:t>
      </w:r>
      <w:r w:rsidR="000851B7">
        <w:rPr>
          <w:sz w:val="24"/>
          <w:szCs w:val="24"/>
        </w:rPr>
        <w:t>before</w:t>
      </w:r>
      <w:r w:rsidR="001F2AF0">
        <w:rPr>
          <w:sz w:val="24"/>
          <w:szCs w:val="24"/>
        </w:rPr>
        <w:t xml:space="preserve"> Staff’s adjustment to ERCOT Transmission Payments)</w:t>
      </w:r>
    </w:p>
    <w:p w:rsidR="00D27976" w:rsidRDefault="00236B08" w:rsidP="00DC718D">
      <w:pPr>
        <w:spacing w:line="480" w:lineRule="auto"/>
        <w:jc w:val="both"/>
      </w:pPr>
      <w:r w:rsidRPr="00236B08">
        <w:rPr>
          <w:noProof/>
        </w:rPr>
        <w:drawing>
          <wp:inline distT="0" distB="0" distL="0" distR="0">
            <wp:extent cx="5862554" cy="3535378"/>
            <wp:effectExtent l="0" t="0" r="508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7138" cy="3544173"/>
                    </a:xfrm>
                    <a:prstGeom prst="rect">
                      <a:avLst/>
                    </a:prstGeom>
                    <a:noFill/>
                    <a:ln>
                      <a:noFill/>
                    </a:ln>
                  </pic:spPr>
                </pic:pic>
              </a:graphicData>
            </a:graphic>
          </wp:inline>
        </w:drawing>
      </w:r>
    </w:p>
    <w:p w:rsidR="00706F61" w:rsidRDefault="00706F61">
      <w:r>
        <w:br w:type="page"/>
      </w:r>
    </w:p>
    <w:p w:rsidR="008E4CF0" w:rsidRDefault="008E4CF0" w:rsidP="008E4CF0">
      <w:pPr>
        <w:spacing w:line="480" w:lineRule="auto"/>
        <w:jc w:val="center"/>
        <w:rPr>
          <w:sz w:val="24"/>
          <w:szCs w:val="24"/>
        </w:rPr>
      </w:pPr>
    </w:p>
    <w:p w:rsidR="00815447" w:rsidRPr="008E4CF0" w:rsidRDefault="008E4CF0" w:rsidP="00A07225">
      <w:pPr>
        <w:spacing w:line="480" w:lineRule="auto"/>
        <w:rPr>
          <w:sz w:val="24"/>
          <w:szCs w:val="24"/>
        </w:rPr>
      </w:pPr>
      <w:r w:rsidRPr="008E4CF0">
        <w:rPr>
          <w:sz w:val="24"/>
          <w:szCs w:val="24"/>
        </w:rPr>
        <w:t>Summary of Staff-adjusted Retail Delivery Rate Base</w:t>
      </w:r>
    </w:p>
    <w:p w:rsidR="00D27976" w:rsidRDefault="00815447" w:rsidP="00815447">
      <w:pPr>
        <w:spacing w:line="480" w:lineRule="auto"/>
        <w:sectPr w:rsidR="00D27976" w:rsidSect="00B25F84">
          <w:headerReference w:type="default" r:id="rId27"/>
          <w:pgSz w:w="12240" w:h="15840" w:code="1"/>
          <w:pgMar w:top="1440" w:right="1800" w:bottom="994" w:left="1800" w:header="720" w:footer="720" w:gutter="0"/>
          <w:pgNumType w:start="1"/>
          <w:cols w:space="720"/>
          <w:docGrid w:linePitch="272"/>
        </w:sectPr>
      </w:pPr>
      <w:r w:rsidRPr="00815447">
        <w:rPr>
          <w:noProof/>
        </w:rPr>
        <w:drawing>
          <wp:inline distT="0" distB="0" distL="0" distR="0">
            <wp:extent cx="4830024" cy="6846011"/>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32357" cy="6849318"/>
                    </a:xfrm>
                    <a:prstGeom prst="rect">
                      <a:avLst/>
                    </a:prstGeom>
                    <a:noFill/>
                    <a:ln>
                      <a:noFill/>
                    </a:ln>
                  </pic:spPr>
                </pic:pic>
              </a:graphicData>
            </a:graphic>
          </wp:inline>
        </w:drawing>
      </w:r>
    </w:p>
    <w:p w:rsidR="00815447" w:rsidRDefault="00815447" w:rsidP="00DC718D">
      <w:pPr>
        <w:spacing w:line="480" w:lineRule="auto"/>
        <w:jc w:val="both"/>
      </w:pPr>
    </w:p>
    <w:p w:rsidR="00815447" w:rsidRDefault="00EC11D6" w:rsidP="00A07225">
      <w:pPr>
        <w:rPr>
          <w:sz w:val="24"/>
          <w:szCs w:val="24"/>
        </w:rPr>
      </w:pPr>
      <w:r>
        <w:rPr>
          <w:sz w:val="24"/>
          <w:szCs w:val="24"/>
        </w:rPr>
        <w:t>Staff-Adjusted Class Allocation</w:t>
      </w:r>
      <w:r w:rsidR="00815447" w:rsidRPr="00815447">
        <w:rPr>
          <w:sz w:val="24"/>
          <w:szCs w:val="24"/>
        </w:rPr>
        <w:t xml:space="preserve"> </w:t>
      </w:r>
      <w:r>
        <w:rPr>
          <w:sz w:val="24"/>
          <w:szCs w:val="24"/>
        </w:rPr>
        <w:t xml:space="preserve">ERCOT Transmission Payments </w:t>
      </w:r>
    </w:p>
    <w:p w:rsidR="00A07225" w:rsidRDefault="00A07225" w:rsidP="00815447">
      <w:pPr>
        <w:jc w:val="center"/>
        <w:rPr>
          <w:sz w:val="24"/>
          <w:szCs w:val="24"/>
        </w:rPr>
      </w:pPr>
    </w:p>
    <w:p w:rsidR="00815447" w:rsidRPr="00815447" w:rsidRDefault="00815447" w:rsidP="00815447">
      <w:pPr>
        <w:jc w:val="center"/>
        <w:rPr>
          <w:sz w:val="24"/>
          <w:szCs w:val="24"/>
        </w:rPr>
      </w:pPr>
    </w:p>
    <w:p w:rsidR="00D27976" w:rsidRDefault="00A07225" w:rsidP="00DC718D">
      <w:pPr>
        <w:spacing w:line="480" w:lineRule="auto"/>
        <w:jc w:val="both"/>
      </w:pPr>
      <w:r w:rsidRPr="00A07225">
        <w:rPr>
          <w:noProof/>
        </w:rPr>
        <w:drawing>
          <wp:inline distT="0" distB="0" distL="0" distR="0">
            <wp:extent cx="5942024" cy="3060071"/>
            <wp:effectExtent l="0" t="0" r="1905"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7225" cy="3062750"/>
                    </a:xfrm>
                    <a:prstGeom prst="rect">
                      <a:avLst/>
                    </a:prstGeom>
                    <a:noFill/>
                    <a:ln>
                      <a:noFill/>
                    </a:ln>
                  </pic:spPr>
                </pic:pic>
              </a:graphicData>
            </a:graphic>
          </wp:inline>
        </w:drawing>
      </w:r>
    </w:p>
    <w:p w:rsidR="001755F7" w:rsidRDefault="001755F7" w:rsidP="00DC718D">
      <w:pPr>
        <w:spacing w:line="480" w:lineRule="auto"/>
        <w:jc w:val="both"/>
      </w:pPr>
    </w:p>
    <w:p w:rsidR="001755F7" w:rsidRDefault="001755F7" w:rsidP="00DC718D">
      <w:pPr>
        <w:spacing w:line="480" w:lineRule="auto"/>
        <w:jc w:val="both"/>
      </w:pPr>
    </w:p>
    <w:p w:rsidR="00D27976" w:rsidRDefault="00D27976" w:rsidP="00DC718D">
      <w:pPr>
        <w:spacing w:line="480" w:lineRule="auto"/>
        <w:jc w:val="both"/>
      </w:pPr>
    </w:p>
    <w:p w:rsidR="00D27976" w:rsidRDefault="00D27976" w:rsidP="00DC718D">
      <w:pPr>
        <w:spacing w:line="480" w:lineRule="auto"/>
        <w:jc w:val="both"/>
        <w:sectPr w:rsidR="00D27976" w:rsidSect="00B25F84">
          <w:headerReference w:type="default" r:id="rId30"/>
          <w:pgSz w:w="12240" w:h="15840" w:code="1"/>
          <w:pgMar w:top="1440" w:right="1800" w:bottom="994" w:left="1800" w:header="720" w:footer="720" w:gutter="0"/>
          <w:pgNumType w:start="1"/>
          <w:cols w:space="720"/>
          <w:docGrid w:linePitch="272"/>
        </w:sectPr>
      </w:pPr>
    </w:p>
    <w:p w:rsidR="00A07225" w:rsidRDefault="00A07225" w:rsidP="00DC718D">
      <w:pPr>
        <w:spacing w:line="480" w:lineRule="auto"/>
        <w:jc w:val="both"/>
      </w:pPr>
    </w:p>
    <w:p w:rsidR="00D27976" w:rsidRPr="00A07225" w:rsidRDefault="00A07225" w:rsidP="00DC718D">
      <w:pPr>
        <w:spacing w:line="480" w:lineRule="auto"/>
        <w:jc w:val="both"/>
        <w:rPr>
          <w:sz w:val="24"/>
          <w:szCs w:val="24"/>
        </w:rPr>
      </w:pPr>
      <w:r w:rsidRPr="00A07225">
        <w:rPr>
          <w:sz w:val="24"/>
          <w:szCs w:val="24"/>
        </w:rPr>
        <w:t xml:space="preserve">Summary of Class </w:t>
      </w:r>
      <w:r w:rsidR="008D4F5A">
        <w:rPr>
          <w:sz w:val="24"/>
          <w:szCs w:val="24"/>
        </w:rPr>
        <w:t>Retail Delivery Base Revenue Requirements</w:t>
      </w:r>
      <w:r w:rsidRPr="00A07225">
        <w:rPr>
          <w:sz w:val="24"/>
          <w:szCs w:val="24"/>
        </w:rPr>
        <w:t xml:space="preserve"> (Thousands of Dollars)</w:t>
      </w:r>
    </w:p>
    <w:p w:rsidR="007D7C25" w:rsidRDefault="002F4884" w:rsidP="00DC718D">
      <w:pPr>
        <w:spacing w:line="480" w:lineRule="auto"/>
        <w:jc w:val="both"/>
      </w:pPr>
      <w:r w:rsidRPr="002F4884">
        <w:rPr>
          <w:noProof/>
        </w:rPr>
        <w:drawing>
          <wp:inline distT="0" distB="0" distL="0" distR="0">
            <wp:extent cx="5486400" cy="200524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86400" cy="2005244"/>
                    </a:xfrm>
                    <a:prstGeom prst="rect">
                      <a:avLst/>
                    </a:prstGeom>
                    <a:noFill/>
                    <a:ln>
                      <a:noFill/>
                    </a:ln>
                  </pic:spPr>
                </pic:pic>
              </a:graphicData>
            </a:graphic>
          </wp:inline>
        </w:drawing>
      </w:r>
    </w:p>
    <w:p w:rsidR="00D27976" w:rsidRDefault="00D27976" w:rsidP="00DC718D">
      <w:pPr>
        <w:spacing w:line="480" w:lineRule="auto"/>
        <w:jc w:val="both"/>
      </w:pPr>
    </w:p>
    <w:p w:rsidR="000B1396" w:rsidRDefault="000B1396" w:rsidP="00DC718D">
      <w:pPr>
        <w:spacing w:line="480" w:lineRule="auto"/>
        <w:jc w:val="both"/>
      </w:pPr>
    </w:p>
    <w:p w:rsidR="000B1396" w:rsidRDefault="000B1396" w:rsidP="00DC718D">
      <w:pPr>
        <w:spacing w:line="480" w:lineRule="auto"/>
        <w:jc w:val="both"/>
      </w:pPr>
    </w:p>
    <w:p w:rsidR="00D27976" w:rsidRDefault="00D27976" w:rsidP="00DC718D">
      <w:pPr>
        <w:spacing w:line="480" w:lineRule="auto"/>
        <w:jc w:val="both"/>
      </w:pPr>
    </w:p>
    <w:p w:rsidR="00D27976" w:rsidRDefault="00D27976" w:rsidP="00DC718D">
      <w:pPr>
        <w:spacing w:line="480" w:lineRule="auto"/>
        <w:jc w:val="both"/>
        <w:sectPr w:rsidR="00D27976" w:rsidSect="00B25F84">
          <w:headerReference w:type="default" r:id="rId32"/>
          <w:pgSz w:w="12240" w:h="15840" w:code="1"/>
          <w:pgMar w:top="1440" w:right="1800" w:bottom="994" w:left="1800" w:header="720" w:footer="720" w:gutter="0"/>
          <w:pgNumType w:start="1"/>
          <w:cols w:space="720"/>
          <w:docGrid w:linePitch="272"/>
        </w:sectPr>
      </w:pPr>
    </w:p>
    <w:p w:rsidR="005668C1" w:rsidRDefault="005668C1" w:rsidP="000002FF">
      <w:pPr>
        <w:ind w:left="2880" w:hanging="2880"/>
        <w:jc w:val="both"/>
        <w:rPr>
          <w:sz w:val="24"/>
          <w:szCs w:val="24"/>
        </w:rPr>
      </w:pPr>
    </w:p>
    <w:p w:rsidR="00D27976" w:rsidRDefault="005655FD" w:rsidP="00C20FD5">
      <w:pPr>
        <w:ind w:left="2880" w:hanging="2880"/>
        <w:jc w:val="both"/>
        <w:rPr>
          <w:sz w:val="24"/>
          <w:szCs w:val="24"/>
        </w:rPr>
      </w:pPr>
      <w:r>
        <w:rPr>
          <w:sz w:val="24"/>
          <w:szCs w:val="24"/>
        </w:rPr>
        <w:t>Class Distance from Cost Under Current R</w:t>
      </w:r>
      <w:r w:rsidR="000002FF">
        <w:rPr>
          <w:sz w:val="24"/>
          <w:szCs w:val="24"/>
        </w:rPr>
        <w:t>ates (</w:t>
      </w:r>
      <w:r>
        <w:rPr>
          <w:sz w:val="24"/>
          <w:szCs w:val="24"/>
        </w:rPr>
        <w:t>Thousands of D</w:t>
      </w:r>
      <w:r w:rsidR="000002FF">
        <w:rPr>
          <w:sz w:val="24"/>
          <w:szCs w:val="24"/>
        </w:rPr>
        <w:t>ollars)</w:t>
      </w:r>
    </w:p>
    <w:p w:rsidR="00C20FD5" w:rsidRPr="00C20FD5" w:rsidRDefault="00C20FD5" w:rsidP="00C20FD5">
      <w:pPr>
        <w:ind w:left="2880" w:hanging="2880"/>
        <w:jc w:val="both"/>
        <w:rPr>
          <w:sz w:val="24"/>
          <w:szCs w:val="24"/>
        </w:rPr>
      </w:pPr>
    </w:p>
    <w:tbl>
      <w:tblPr>
        <w:tblStyle w:val="TableGrid"/>
        <w:tblW w:w="8820" w:type="dxa"/>
        <w:tblInd w:w="-5" w:type="dxa"/>
        <w:tblLook w:val="04A0" w:firstRow="1" w:lastRow="0" w:firstColumn="1" w:lastColumn="0" w:noHBand="0" w:noVBand="1"/>
      </w:tblPr>
      <w:tblGrid>
        <w:gridCol w:w="1994"/>
        <w:gridCol w:w="1176"/>
        <w:gridCol w:w="1176"/>
        <w:gridCol w:w="1061"/>
        <w:gridCol w:w="1176"/>
        <w:gridCol w:w="1176"/>
        <w:gridCol w:w="1061"/>
      </w:tblGrid>
      <w:tr w:rsidR="005668C1" w:rsidTr="00D87CCB">
        <w:tc>
          <w:tcPr>
            <w:tcW w:w="2002" w:type="dxa"/>
            <w:tcBorders>
              <w:right w:val="single" w:sz="12" w:space="0" w:color="auto"/>
            </w:tcBorders>
          </w:tcPr>
          <w:p w:rsidR="005668C1" w:rsidRDefault="005668C1" w:rsidP="00D87CCB">
            <w:pPr>
              <w:jc w:val="both"/>
              <w:rPr>
                <w:sz w:val="24"/>
                <w:szCs w:val="24"/>
              </w:rPr>
            </w:pPr>
          </w:p>
        </w:tc>
        <w:tc>
          <w:tcPr>
            <w:tcW w:w="3415" w:type="dxa"/>
            <w:gridSpan w:val="3"/>
            <w:tcBorders>
              <w:top w:val="single" w:sz="12" w:space="0" w:color="auto"/>
              <w:left w:val="single" w:sz="12" w:space="0" w:color="auto"/>
              <w:right w:val="single" w:sz="12" w:space="0" w:color="auto"/>
            </w:tcBorders>
          </w:tcPr>
          <w:p w:rsidR="005668C1" w:rsidRDefault="005668C1" w:rsidP="00D87CCB">
            <w:pPr>
              <w:jc w:val="center"/>
              <w:rPr>
                <w:sz w:val="24"/>
                <w:szCs w:val="24"/>
              </w:rPr>
            </w:pPr>
            <w:r>
              <w:rPr>
                <w:sz w:val="24"/>
                <w:szCs w:val="24"/>
              </w:rPr>
              <w:t>CenterPoint</w:t>
            </w:r>
          </w:p>
        </w:tc>
        <w:tc>
          <w:tcPr>
            <w:tcW w:w="3403" w:type="dxa"/>
            <w:gridSpan w:val="3"/>
            <w:tcBorders>
              <w:top w:val="single" w:sz="12" w:space="0" w:color="auto"/>
              <w:left w:val="single" w:sz="12" w:space="0" w:color="auto"/>
              <w:right w:val="single" w:sz="12" w:space="0" w:color="auto"/>
            </w:tcBorders>
          </w:tcPr>
          <w:p w:rsidR="005668C1" w:rsidRDefault="005668C1" w:rsidP="00D87CCB">
            <w:pPr>
              <w:jc w:val="center"/>
              <w:rPr>
                <w:sz w:val="24"/>
                <w:szCs w:val="24"/>
              </w:rPr>
            </w:pPr>
            <w:r>
              <w:rPr>
                <w:sz w:val="24"/>
                <w:szCs w:val="24"/>
              </w:rPr>
              <w:t>Staff</w:t>
            </w:r>
          </w:p>
        </w:tc>
      </w:tr>
      <w:tr w:rsidR="005668C1" w:rsidTr="00D87CCB">
        <w:tc>
          <w:tcPr>
            <w:tcW w:w="2002" w:type="dxa"/>
            <w:tcBorders>
              <w:right w:val="single" w:sz="12" w:space="0" w:color="auto"/>
            </w:tcBorders>
          </w:tcPr>
          <w:p w:rsidR="005668C1" w:rsidRDefault="005668C1" w:rsidP="00D87CCB">
            <w:pPr>
              <w:jc w:val="both"/>
              <w:rPr>
                <w:sz w:val="24"/>
                <w:szCs w:val="24"/>
              </w:rPr>
            </w:pPr>
            <w:r>
              <w:rPr>
                <w:sz w:val="24"/>
                <w:szCs w:val="24"/>
              </w:rPr>
              <w:t>Class</w:t>
            </w:r>
          </w:p>
        </w:tc>
        <w:tc>
          <w:tcPr>
            <w:tcW w:w="1176" w:type="dxa"/>
            <w:tcBorders>
              <w:left w:val="single" w:sz="12" w:space="0" w:color="auto"/>
            </w:tcBorders>
            <w:vAlign w:val="bottom"/>
          </w:tcPr>
          <w:p w:rsidR="005668C1" w:rsidRDefault="005668C1" w:rsidP="00D87CCB">
            <w:pPr>
              <w:jc w:val="center"/>
              <w:rPr>
                <w:sz w:val="24"/>
                <w:szCs w:val="24"/>
              </w:rPr>
            </w:pPr>
            <w:r>
              <w:rPr>
                <w:sz w:val="24"/>
                <w:szCs w:val="24"/>
              </w:rPr>
              <w:t>Present Revenue</w:t>
            </w:r>
          </w:p>
        </w:tc>
        <w:tc>
          <w:tcPr>
            <w:tcW w:w="1176" w:type="dxa"/>
            <w:vAlign w:val="bottom"/>
          </w:tcPr>
          <w:p w:rsidR="005668C1" w:rsidRDefault="005668C1" w:rsidP="00D87CCB">
            <w:pPr>
              <w:jc w:val="center"/>
              <w:rPr>
                <w:sz w:val="24"/>
                <w:szCs w:val="24"/>
              </w:rPr>
            </w:pPr>
            <w:r>
              <w:rPr>
                <w:sz w:val="24"/>
                <w:szCs w:val="24"/>
              </w:rPr>
              <w:t>Cost of Service</w:t>
            </w:r>
          </w:p>
        </w:tc>
        <w:tc>
          <w:tcPr>
            <w:tcW w:w="1063" w:type="dxa"/>
            <w:tcBorders>
              <w:right w:val="single" w:sz="12" w:space="0" w:color="auto"/>
            </w:tcBorders>
            <w:vAlign w:val="bottom"/>
          </w:tcPr>
          <w:p w:rsidR="005668C1" w:rsidRDefault="005668C1" w:rsidP="00D87CCB">
            <w:pPr>
              <w:jc w:val="center"/>
              <w:rPr>
                <w:sz w:val="24"/>
                <w:szCs w:val="24"/>
              </w:rPr>
            </w:pPr>
            <w:r>
              <w:rPr>
                <w:sz w:val="24"/>
                <w:szCs w:val="24"/>
              </w:rPr>
              <w:t>Change (%)</w:t>
            </w:r>
          </w:p>
        </w:tc>
        <w:tc>
          <w:tcPr>
            <w:tcW w:w="1164" w:type="dxa"/>
            <w:tcBorders>
              <w:left w:val="single" w:sz="12" w:space="0" w:color="auto"/>
            </w:tcBorders>
            <w:vAlign w:val="bottom"/>
          </w:tcPr>
          <w:p w:rsidR="005668C1" w:rsidRDefault="005668C1" w:rsidP="00D87CCB">
            <w:pPr>
              <w:jc w:val="center"/>
              <w:rPr>
                <w:sz w:val="24"/>
                <w:szCs w:val="24"/>
              </w:rPr>
            </w:pPr>
            <w:r>
              <w:rPr>
                <w:sz w:val="24"/>
                <w:szCs w:val="24"/>
              </w:rPr>
              <w:t>Present Revenue</w:t>
            </w:r>
          </w:p>
        </w:tc>
        <w:tc>
          <w:tcPr>
            <w:tcW w:w="1176" w:type="dxa"/>
            <w:vAlign w:val="bottom"/>
          </w:tcPr>
          <w:p w:rsidR="005668C1" w:rsidRDefault="005668C1" w:rsidP="00D87CCB">
            <w:pPr>
              <w:jc w:val="center"/>
              <w:rPr>
                <w:sz w:val="24"/>
                <w:szCs w:val="24"/>
              </w:rPr>
            </w:pPr>
            <w:r>
              <w:rPr>
                <w:sz w:val="24"/>
                <w:szCs w:val="24"/>
              </w:rPr>
              <w:t>Cost of Service</w:t>
            </w:r>
          </w:p>
        </w:tc>
        <w:tc>
          <w:tcPr>
            <w:tcW w:w="1063" w:type="dxa"/>
            <w:tcBorders>
              <w:right w:val="single" w:sz="12" w:space="0" w:color="auto"/>
            </w:tcBorders>
            <w:vAlign w:val="bottom"/>
          </w:tcPr>
          <w:p w:rsidR="005668C1" w:rsidRDefault="005668C1" w:rsidP="00D87CCB">
            <w:pPr>
              <w:jc w:val="center"/>
              <w:rPr>
                <w:sz w:val="24"/>
                <w:szCs w:val="24"/>
              </w:rPr>
            </w:pPr>
            <w:r>
              <w:rPr>
                <w:sz w:val="24"/>
                <w:szCs w:val="24"/>
              </w:rPr>
              <w:t>Change (%)</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Residential</w:t>
            </w:r>
          </w:p>
        </w:tc>
        <w:tc>
          <w:tcPr>
            <w:tcW w:w="1176" w:type="dxa"/>
            <w:tcBorders>
              <w:left w:val="single" w:sz="12" w:space="0" w:color="auto"/>
            </w:tcBorders>
          </w:tcPr>
          <w:p w:rsidR="005668C1" w:rsidRDefault="005668C1" w:rsidP="00D87CCB">
            <w:pPr>
              <w:jc w:val="right"/>
              <w:rPr>
                <w:sz w:val="24"/>
                <w:szCs w:val="24"/>
              </w:rPr>
            </w:pPr>
            <w:r>
              <w:rPr>
                <w:sz w:val="24"/>
                <w:szCs w:val="24"/>
              </w:rPr>
              <w:t>1,130,553</w:t>
            </w:r>
          </w:p>
        </w:tc>
        <w:tc>
          <w:tcPr>
            <w:tcW w:w="1176" w:type="dxa"/>
          </w:tcPr>
          <w:p w:rsidR="005668C1" w:rsidRDefault="005668C1" w:rsidP="00D87CCB">
            <w:pPr>
              <w:jc w:val="right"/>
              <w:rPr>
                <w:sz w:val="24"/>
                <w:szCs w:val="24"/>
              </w:rPr>
            </w:pPr>
            <w:r>
              <w:rPr>
                <w:sz w:val="24"/>
                <w:szCs w:val="24"/>
              </w:rPr>
              <w:t>1,217,815</w:t>
            </w:r>
          </w:p>
        </w:tc>
        <w:tc>
          <w:tcPr>
            <w:tcW w:w="1063" w:type="dxa"/>
            <w:tcBorders>
              <w:right w:val="single" w:sz="12" w:space="0" w:color="auto"/>
            </w:tcBorders>
          </w:tcPr>
          <w:p w:rsidR="005668C1" w:rsidRDefault="005668C1" w:rsidP="00D87CCB">
            <w:pPr>
              <w:jc w:val="right"/>
              <w:rPr>
                <w:sz w:val="24"/>
                <w:szCs w:val="24"/>
              </w:rPr>
            </w:pPr>
            <w:r>
              <w:rPr>
                <w:sz w:val="24"/>
                <w:szCs w:val="24"/>
              </w:rPr>
              <w:t>7.7</w:t>
            </w:r>
          </w:p>
        </w:tc>
        <w:tc>
          <w:tcPr>
            <w:tcW w:w="1164" w:type="dxa"/>
            <w:tcBorders>
              <w:left w:val="single" w:sz="12" w:space="0" w:color="auto"/>
            </w:tcBorders>
          </w:tcPr>
          <w:p w:rsidR="005668C1" w:rsidRDefault="005668C1" w:rsidP="00D87CCB">
            <w:pPr>
              <w:jc w:val="right"/>
              <w:rPr>
                <w:sz w:val="24"/>
                <w:szCs w:val="24"/>
              </w:rPr>
            </w:pPr>
            <w:r>
              <w:rPr>
                <w:sz w:val="24"/>
                <w:szCs w:val="24"/>
              </w:rPr>
              <w:t>1,164,264</w:t>
            </w:r>
          </w:p>
        </w:tc>
        <w:tc>
          <w:tcPr>
            <w:tcW w:w="1176" w:type="dxa"/>
          </w:tcPr>
          <w:p w:rsidR="005668C1" w:rsidRDefault="005668C1" w:rsidP="00D87CCB">
            <w:pPr>
              <w:jc w:val="right"/>
              <w:rPr>
                <w:sz w:val="24"/>
                <w:szCs w:val="24"/>
              </w:rPr>
            </w:pPr>
            <w:r>
              <w:rPr>
                <w:sz w:val="24"/>
                <w:szCs w:val="24"/>
              </w:rPr>
              <w:t>1,164,020</w:t>
            </w:r>
          </w:p>
        </w:tc>
        <w:tc>
          <w:tcPr>
            <w:tcW w:w="1063" w:type="dxa"/>
            <w:tcBorders>
              <w:right w:val="single" w:sz="12" w:space="0" w:color="auto"/>
            </w:tcBorders>
          </w:tcPr>
          <w:p w:rsidR="005668C1" w:rsidRDefault="005668C1" w:rsidP="00D87CCB">
            <w:pPr>
              <w:jc w:val="right"/>
              <w:rPr>
                <w:sz w:val="24"/>
                <w:szCs w:val="24"/>
              </w:rPr>
            </w:pPr>
            <w:r>
              <w:rPr>
                <w:sz w:val="24"/>
                <w:szCs w:val="24"/>
              </w:rPr>
              <w:t>0.0</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Secondary Small</w:t>
            </w:r>
          </w:p>
        </w:tc>
        <w:tc>
          <w:tcPr>
            <w:tcW w:w="1176" w:type="dxa"/>
            <w:tcBorders>
              <w:left w:val="single" w:sz="12" w:space="0" w:color="auto"/>
            </w:tcBorders>
          </w:tcPr>
          <w:p w:rsidR="005668C1" w:rsidRDefault="005668C1" w:rsidP="00D87CCB">
            <w:pPr>
              <w:jc w:val="right"/>
              <w:rPr>
                <w:sz w:val="24"/>
                <w:szCs w:val="24"/>
              </w:rPr>
            </w:pPr>
            <w:r>
              <w:rPr>
                <w:sz w:val="24"/>
                <w:szCs w:val="24"/>
              </w:rPr>
              <w:t>32,595</w:t>
            </w:r>
          </w:p>
        </w:tc>
        <w:tc>
          <w:tcPr>
            <w:tcW w:w="1176" w:type="dxa"/>
          </w:tcPr>
          <w:p w:rsidR="005668C1" w:rsidRDefault="005668C1" w:rsidP="00D87CCB">
            <w:pPr>
              <w:jc w:val="right"/>
              <w:rPr>
                <w:sz w:val="24"/>
                <w:szCs w:val="24"/>
              </w:rPr>
            </w:pPr>
            <w:r>
              <w:rPr>
                <w:sz w:val="24"/>
                <w:szCs w:val="24"/>
              </w:rPr>
              <w:t>30,607</w:t>
            </w:r>
          </w:p>
        </w:tc>
        <w:tc>
          <w:tcPr>
            <w:tcW w:w="1063" w:type="dxa"/>
            <w:tcBorders>
              <w:right w:val="single" w:sz="12" w:space="0" w:color="auto"/>
            </w:tcBorders>
          </w:tcPr>
          <w:p w:rsidR="005668C1" w:rsidRDefault="005668C1" w:rsidP="00D87CCB">
            <w:pPr>
              <w:jc w:val="right"/>
              <w:rPr>
                <w:sz w:val="24"/>
                <w:szCs w:val="24"/>
              </w:rPr>
            </w:pPr>
            <w:r>
              <w:rPr>
                <w:sz w:val="24"/>
                <w:szCs w:val="24"/>
              </w:rPr>
              <w:t>-6.1</w:t>
            </w:r>
          </w:p>
        </w:tc>
        <w:tc>
          <w:tcPr>
            <w:tcW w:w="1164" w:type="dxa"/>
            <w:tcBorders>
              <w:left w:val="single" w:sz="12" w:space="0" w:color="auto"/>
            </w:tcBorders>
          </w:tcPr>
          <w:p w:rsidR="005668C1" w:rsidRDefault="005668C1" w:rsidP="00D87CCB">
            <w:pPr>
              <w:jc w:val="right"/>
              <w:rPr>
                <w:sz w:val="24"/>
                <w:szCs w:val="24"/>
              </w:rPr>
            </w:pPr>
            <w:r>
              <w:rPr>
                <w:sz w:val="24"/>
                <w:szCs w:val="24"/>
              </w:rPr>
              <w:t>32,768</w:t>
            </w:r>
          </w:p>
        </w:tc>
        <w:tc>
          <w:tcPr>
            <w:tcW w:w="1176" w:type="dxa"/>
          </w:tcPr>
          <w:p w:rsidR="005668C1" w:rsidRDefault="005668C1" w:rsidP="00D87CCB">
            <w:pPr>
              <w:jc w:val="right"/>
              <w:rPr>
                <w:sz w:val="24"/>
                <w:szCs w:val="24"/>
              </w:rPr>
            </w:pPr>
            <w:r>
              <w:rPr>
                <w:sz w:val="24"/>
                <w:szCs w:val="24"/>
              </w:rPr>
              <w:t>28,898</w:t>
            </w:r>
          </w:p>
        </w:tc>
        <w:tc>
          <w:tcPr>
            <w:tcW w:w="1063" w:type="dxa"/>
            <w:tcBorders>
              <w:right w:val="single" w:sz="12" w:space="0" w:color="auto"/>
            </w:tcBorders>
          </w:tcPr>
          <w:p w:rsidR="005668C1" w:rsidRDefault="005668C1" w:rsidP="00D87CCB">
            <w:pPr>
              <w:jc w:val="right"/>
              <w:rPr>
                <w:sz w:val="24"/>
                <w:szCs w:val="24"/>
              </w:rPr>
            </w:pPr>
            <w:r>
              <w:rPr>
                <w:sz w:val="24"/>
                <w:szCs w:val="24"/>
              </w:rPr>
              <w:t>-11.8</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Secondary Large</w:t>
            </w:r>
          </w:p>
        </w:tc>
        <w:tc>
          <w:tcPr>
            <w:tcW w:w="1176" w:type="dxa"/>
            <w:tcBorders>
              <w:left w:val="single" w:sz="12" w:space="0" w:color="auto"/>
            </w:tcBorders>
          </w:tcPr>
          <w:p w:rsidR="005668C1" w:rsidRDefault="005668C1" w:rsidP="00D87CCB">
            <w:pPr>
              <w:jc w:val="right"/>
              <w:rPr>
                <w:sz w:val="24"/>
                <w:szCs w:val="24"/>
              </w:rPr>
            </w:pPr>
            <w:r>
              <w:rPr>
                <w:sz w:val="24"/>
                <w:szCs w:val="24"/>
              </w:rPr>
              <w:t>654,965</w:t>
            </w:r>
          </w:p>
        </w:tc>
        <w:tc>
          <w:tcPr>
            <w:tcW w:w="1176" w:type="dxa"/>
          </w:tcPr>
          <w:p w:rsidR="005668C1" w:rsidRDefault="005668C1" w:rsidP="00D87CCB">
            <w:pPr>
              <w:jc w:val="right"/>
              <w:rPr>
                <w:sz w:val="24"/>
                <w:szCs w:val="24"/>
              </w:rPr>
            </w:pPr>
            <w:r>
              <w:rPr>
                <w:sz w:val="24"/>
                <w:szCs w:val="24"/>
              </w:rPr>
              <w:t>739,867</w:t>
            </w:r>
          </w:p>
        </w:tc>
        <w:tc>
          <w:tcPr>
            <w:tcW w:w="1063" w:type="dxa"/>
            <w:tcBorders>
              <w:right w:val="single" w:sz="12" w:space="0" w:color="auto"/>
            </w:tcBorders>
          </w:tcPr>
          <w:p w:rsidR="005668C1" w:rsidRDefault="005668C1" w:rsidP="00D87CCB">
            <w:pPr>
              <w:jc w:val="right"/>
              <w:rPr>
                <w:sz w:val="24"/>
                <w:szCs w:val="24"/>
              </w:rPr>
            </w:pPr>
            <w:r>
              <w:rPr>
                <w:sz w:val="24"/>
                <w:szCs w:val="24"/>
              </w:rPr>
              <w:t>12.9</w:t>
            </w:r>
          </w:p>
        </w:tc>
        <w:tc>
          <w:tcPr>
            <w:tcW w:w="1164" w:type="dxa"/>
            <w:tcBorders>
              <w:left w:val="single" w:sz="12" w:space="0" w:color="auto"/>
            </w:tcBorders>
          </w:tcPr>
          <w:p w:rsidR="005668C1" w:rsidRDefault="005668C1" w:rsidP="00D87CCB">
            <w:pPr>
              <w:jc w:val="right"/>
              <w:rPr>
                <w:sz w:val="24"/>
                <w:szCs w:val="24"/>
              </w:rPr>
            </w:pPr>
            <w:r>
              <w:rPr>
                <w:sz w:val="24"/>
                <w:szCs w:val="24"/>
              </w:rPr>
              <w:t>654,965</w:t>
            </w:r>
          </w:p>
        </w:tc>
        <w:tc>
          <w:tcPr>
            <w:tcW w:w="1176" w:type="dxa"/>
          </w:tcPr>
          <w:p w:rsidR="005668C1" w:rsidRDefault="005668C1" w:rsidP="00D87CCB">
            <w:pPr>
              <w:jc w:val="right"/>
              <w:rPr>
                <w:sz w:val="24"/>
                <w:szCs w:val="24"/>
              </w:rPr>
            </w:pPr>
            <w:r>
              <w:rPr>
                <w:sz w:val="24"/>
                <w:szCs w:val="24"/>
              </w:rPr>
              <w:t>710,523</w:t>
            </w:r>
          </w:p>
        </w:tc>
        <w:tc>
          <w:tcPr>
            <w:tcW w:w="1063" w:type="dxa"/>
            <w:tcBorders>
              <w:right w:val="single" w:sz="12" w:space="0" w:color="auto"/>
            </w:tcBorders>
          </w:tcPr>
          <w:p w:rsidR="005668C1" w:rsidRDefault="005668C1" w:rsidP="00D87CCB">
            <w:pPr>
              <w:jc w:val="right"/>
              <w:rPr>
                <w:sz w:val="24"/>
                <w:szCs w:val="24"/>
              </w:rPr>
            </w:pPr>
            <w:r>
              <w:rPr>
                <w:sz w:val="24"/>
                <w:szCs w:val="24"/>
              </w:rPr>
              <w:t>8.5</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Primary</w:t>
            </w:r>
          </w:p>
        </w:tc>
        <w:tc>
          <w:tcPr>
            <w:tcW w:w="1176" w:type="dxa"/>
            <w:tcBorders>
              <w:left w:val="single" w:sz="12" w:space="0" w:color="auto"/>
            </w:tcBorders>
          </w:tcPr>
          <w:p w:rsidR="005668C1" w:rsidRDefault="005668C1" w:rsidP="00D87CCB">
            <w:pPr>
              <w:jc w:val="right"/>
              <w:rPr>
                <w:sz w:val="24"/>
                <w:szCs w:val="24"/>
              </w:rPr>
            </w:pPr>
            <w:r>
              <w:rPr>
                <w:sz w:val="24"/>
                <w:szCs w:val="24"/>
              </w:rPr>
              <w:t>66,701</w:t>
            </w:r>
          </w:p>
        </w:tc>
        <w:tc>
          <w:tcPr>
            <w:tcW w:w="1176" w:type="dxa"/>
          </w:tcPr>
          <w:p w:rsidR="005668C1" w:rsidRDefault="005668C1" w:rsidP="00D87CCB">
            <w:pPr>
              <w:jc w:val="right"/>
              <w:rPr>
                <w:sz w:val="24"/>
                <w:szCs w:val="24"/>
              </w:rPr>
            </w:pPr>
            <w:r>
              <w:rPr>
                <w:sz w:val="24"/>
                <w:szCs w:val="24"/>
              </w:rPr>
              <w:t>70,090</w:t>
            </w:r>
          </w:p>
        </w:tc>
        <w:tc>
          <w:tcPr>
            <w:tcW w:w="1063" w:type="dxa"/>
            <w:tcBorders>
              <w:right w:val="single" w:sz="12" w:space="0" w:color="auto"/>
            </w:tcBorders>
          </w:tcPr>
          <w:p w:rsidR="005668C1" w:rsidRDefault="005668C1" w:rsidP="00D87CCB">
            <w:pPr>
              <w:jc w:val="right"/>
              <w:rPr>
                <w:sz w:val="24"/>
                <w:szCs w:val="24"/>
              </w:rPr>
            </w:pPr>
            <w:r>
              <w:rPr>
                <w:sz w:val="24"/>
                <w:szCs w:val="24"/>
              </w:rPr>
              <w:t>5.1</w:t>
            </w:r>
          </w:p>
        </w:tc>
        <w:tc>
          <w:tcPr>
            <w:tcW w:w="1164" w:type="dxa"/>
            <w:tcBorders>
              <w:left w:val="single" w:sz="12" w:space="0" w:color="auto"/>
            </w:tcBorders>
          </w:tcPr>
          <w:p w:rsidR="005668C1" w:rsidRDefault="005668C1" w:rsidP="00D87CCB">
            <w:pPr>
              <w:jc w:val="right"/>
              <w:rPr>
                <w:sz w:val="24"/>
                <w:szCs w:val="24"/>
              </w:rPr>
            </w:pPr>
            <w:r>
              <w:rPr>
                <w:sz w:val="24"/>
                <w:szCs w:val="24"/>
              </w:rPr>
              <w:t>66,701</w:t>
            </w:r>
          </w:p>
        </w:tc>
        <w:tc>
          <w:tcPr>
            <w:tcW w:w="1176" w:type="dxa"/>
          </w:tcPr>
          <w:p w:rsidR="005668C1" w:rsidRDefault="005668C1" w:rsidP="00D87CCB">
            <w:pPr>
              <w:jc w:val="right"/>
              <w:rPr>
                <w:sz w:val="24"/>
                <w:szCs w:val="24"/>
              </w:rPr>
            </w:pPr>
            <w:r>
              <w:rPr>
                <w:sz w:val="24"/>
                <w:szCs w:val="24"/>
              </w:rPr>
              <w:t>66,283</w:t>
            </w:r>
          </w:p>
        </w:tc>
        <w:tc>
          <w:tcPr>
            <w:tcW w:w="1063" w:type="dxa"/>
            <w:tcBorders>
              <w:right w:val="single" w:sz="12" w:space="0" w:color="auto"/>
            </w:tcBorders>
          </w:tcPr>
          <w:p w:rsidR="005668C1" w:rsidRDefault="005668C1" w:rsidP="00D87CCB">
            <w:pPr>
              <w:jc w:val="right"/>
              <w:rPr>
                <w:sz w:val="24"/>
                <w:szCs w:val="24"/>
              </w:rPr>
            </w:pPr>
            <w:r>
              <w:rPr>
                <w:sz w:val="24"/>
                <w:szCs w:val="24"/>
              </w:rPr>
              <w:t>-0.6</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Transmission</w:t>
            </w:r>
          </w:p>
        </w:tc>
        <w:tc>
          <w:tcPr>
            <w:tcW w:w="1176" w:type="dxa"/>
            <w:tcBorders>
              <w:left w:val="single" w:sz="12" w:space="0" w:color="auto"/>
            </w:tcBorders>
          </w:tcPr>
          <w:p w:rsidR="005668C1" w:rsidRDefault="005668C1" w:rsidP="00D87CCB">
            <w:pPr>
              <w:jc w:val="right"/>
              <w:rPr>
                <w:sz w:val="24"/>
                <w:szCs w:val="24"/>
              </w:rPr>
            </w:pPr>
            <w:r>
              <w:rPr>
                <w:sz w:val="24"/>
                <w:szCs w:val="24"/>
              </w:rPr>
              <w:t>143,212</w:t>
            </w:r>
          </w:p>
        </w:tc>
        <w:tc>
          <w:tcPr>
            <w:tcW w:w="1176" w:type="dxa"/>
          </w:tcPr>
          <w:p w:rsidR="005668C1" w:rsidRDefault="005668C1" w:rsidP="00D87CCB">
            <w:pPr>
              <w:jc w:val="right"/>
              <w:rPr>
                <w:sz w:val="24"/>
                <w:szCs w:val="24"/>
              </w:rPr>
            </w:pPr>
            <w:r>
              <w:rPr>
                <w:sz w:val="24"/>
                <w:szCs w:val="24"/>
              </w:rPr>
              <w:t>162,434</w:t>
            </w:r>
          </w:p>
        </w:tc>
        <w:tc>
          <w:tcPr>
            <w:tcW w:w="1063" w:type="dxa"/>
            <w:tcBorders>
              <w:right w:val="single" w:sz="12" w:space="0" w:color="auto"/>
            </w:tcBorders>
          </w:tcPr>
          <w:p w:rsidR="005668C1" w:rsidRDefault="005668C1" w:rsidP="00D87CCB">
            <w:pPr>
              <w:jc w:val="right"/>
              <w:rPr>
                <w:sz w:val="24"/>
                <w:szCs w:val="24"/>
              </w:rPr>
            </w:pPr>
            <w:r>
              <w:rPr>
                <w:sz w:val="24"/>
                <w:szCs w:val="24"/>
              </w:rPr>
              <w:t>13.4</w:t>
            </w:r>
          </w:p>
        </w:tc>
        <w:tc>
          <w:tcPr>
            <w:tcW w:w="1164" w:type="dxa"/>
            <w:tcBorders>
              <w:left w:val="single" w:sz="12" w:space="0" w:color="auto"/>
            </w:tcBorders>
          </w:tcPr>
          <w:p w:rsidR="005668C1" w:rsidRDefault="005668C1" w:rsidP="00D87CCB">
            <w:pPr>
              <w:jc w:val="right"/>
              <w:rPr>
                <w:sz w:val="24"/>
                <w:szCs w:val="24"/>
              </w:rPr>
            </w:pPr>
            <w:r>
              <w:rPr>
                <w:sz w:val="24"/>
                <w:szCs w:val="24"/>
              </w:rPr>
              <w:t>143,212</w:t>
            </w:r>
          </w:p>
        </w:tc>
        <w:tc>
          <w:tcPr>
            <w:tcW w:w="1176" w:type="dxa"/>
          </w:tcPr>
          <w:p w:rsidR="005668C1" w:rsidRDefault="005668C1" w:rsidP="00D87CCB">
            <w:pPr>
              <w:jc w:val="right"/>
              <w:rPr>
                <w:sz w:val="24"/>
                <w:szCs w:val="24"/>
              </w:rPr>
            </w:pPr>
            <w:r>
              <w:rPr>
                <w:sz w:val="24"/>
                <w:szCs w:val="24"/>
              </w:rPr>
              <w:t>146,540</w:t>
            </w:r>
          </w:p>
        </w:tc>
        <w:tc>
          <w:tcPr>
            <w:tcW w:w="1063" w:type="dxa"/>
            <w:tcBorders>
              <w:right w:val="single" w:sz="12" w:space="0" w:color="auto"/>
            </w:tcBorders>
          </w:tcPr>
          <w:p w:rsidR="005668C1" w:rsidRDefault="005668C1" w:rsidP="00D87CCB">
            <w:pPr>
              <w:jc w:val="right"/>
              <w:rPr>
                <w:sz w:val="24"/>
                <w:szCs w:val="24"/>
              </w:rPr>
            </w:pPr>
            <w:r>
              <w:rPr>
                <w:sz w:val="24"/>
                <w:szCs w:val="24"/>
              </w:rPr>
              <w:t>2.3</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Lighting - SLS</w:t>
            </w:r>
          </w:p>
        </w:tc>
        <w:tc>
          <w:tcPr>
            <w:tcW w:w="1176" w:type="dxa"/>
            <w:tcBorders>
              <w:left w:val="single" w:sz="12" w:space="0" w:color="auto"/>
            </w:tcBorders>
          </w:tcPr>
          <w:p w:rsidR="005668C1" w:rsidRDefault="005668C1" w:rsidP="00D87CCB">
            <w:pPr>
              <w:jc w:val="right"/>
              <w:rPr>
                <w:sz w:val="24"/>
                <w:szCs w:val="24"/>
              </w:rPr>
            </w:pPr>
            <w:r>
              <w:rPr>
                <w:sz w:val="24"/>
                <w:szCs w:val="24"/>
              </w:rPr>
              <w:t>63,730</w:t>
            </w:r>
          </w:p>
        </w:tc>
        <w:tc>
          <w:tcPr>
            <w:tcW w:w="1176" w:type="dxa"/>
          </w:tcPr>
          <w:p w:rsidR="005668C1" w:rsidRDefault="005668C1" w:rsidP="00D87CCB">
            <w:pPr>
              <w:jc w:val="right"/>
              <w:rPr>
                <w:sz w:val="24"/>
                <w:szCs w:val="24"/>
              </w:rPr>
            </w:pPr>
            <w:r>
              <w:rPr>
                <w:sz w:val="24"/>
                <w:szCs w:val="24"/>
              </w:rPr>
              <w:t>58,265</w:t>
            </w:r>
          </w:p>
        </w:tc>
        <w:tc>
          <w:tcPr>
            <w:tcW w:w="1063" w:type="dxa"/>
            <w:tcBorders>
              <w:right w:val="single" w:sz="12" w:space="0" w:color="auto"/>
            </w:tcBorders>
          </w:tcPr>
          <w:p w:rsidR="005668C1" w:rsidRDefault="005668C1" w:rsidP="00D87CCB">
            <w:pPr>
              <w:jc w:val="right"/>
              <w:rPr>
                <w:sz w:val="24"/>
                <w:szCs w:val="24"/>
              </w:rPr>
            </w:pPr>
            <w:r>
              <w:rPr>
                <w:sz w:val="24"/>
                <w:szCs w:val="24"/>
              </w:rPr>
              <w:t>-8.6</w:t>
            </w:r>
          </w:p>
        </w:tc>
        <w:tc>
          <w:tcPr>
            <w:tcW w:w="1164" w:type="dxa"/>
            <w:tcBorders>
              <w:left w:val="single" w:sz="12" w:space="0" w:color="auto"/>
            </w:tcBorders>
          </w:tcPr>
          <w:p w:rsidR="005668C1" w:rsidRDefault="005668C1" w:rsidP="00D87CCB">
            <w:pPr>
              <w:jc w:val="right"/>
              <w:rPr>
                <w:sz w:val="24"/>
                <w:szCs w:val="24"/>
              </w:rPr>
            </w:pPr>
            <w:r>
              <w:rPr>
                <w:sz w:val="24"/>
                <w:szCs w:val="24"/>
              </w:rPr>
              <w:t>63,730</w:t>
            </w:r>
          </w:p>
        </w:tc>
        <w:tc>
          <w:tcPr>
            <w:tcW w:w="1176" w:type="dxa"/>
          </w:tcPr>
          <w:p w:rsidR="005668C1" w:rsidRDefault="005668C1" w:rsidP="00D87CCB">
            <w:pPr>
              <w:jc w:val="right"/>
              <w:rPr>
                <w:sz w:val="24"/>
                <w:szCs w:val="24"/>
              </w:rPr>
            </w:pPr>
            <w:r>
              <w:rPr>
                <w:sz w:val="24"/>
                <w:szCs w:val="24"/>
              </w:rPr>
              <w:t>51,548</w:t>
            </w:r>
          </w:p>
        </w:tc>
        <w:tc>
          <w:tcPr>
            <w:tcW w:w="1063" w:type="dxa"/>
            <w:tcBorders>
              <w:right w:val="single" w:sz="12" w:space="0" w:color="auto"/>
            </w:tcBorders>
          </w:tcPr>
          <w:p w:rsidR="005668C1" w:rsidRDefault="005668C1" w:rsidP="00D87CCB">
            <w:pPr>
              <w:jc w:val="right"/>
              <w:rPr>
                <w:sz w:val="24"/>
                <w:szCs w:val="24"/>
              </w:rPr>
            </w:pPr>
            <w:r>
              <w:rPr>
                <w:sz w:val="24"/>
                <w:szCs w:val="24"/>
              </w:rPr>
              <w:t>-19.1</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Lighting - MLS</w:t>
            </w:r>
          </w:p>
        </w:tc>
        <w:tc>
          <w:tcPr>
            <w:tcW w:w="1176" w:type="dxa"/>
            <w:tcBorders>
              <w:left w:val="single" w:sz="12" w:space="0" w:color="auto"/>
            </w:tcBorders>
          </w:tcPr>
          <w:p w:rsidR="005668C1" w:rsidRDefault="005668C1" w:rsidP="00D87CCB">
            <w:pPr>
              <w:jc w:val="right"/>
              <w:rPr>
                <w:sz w:val="24"/>
                <w:szCs w:val="24"/>
              </w:rPr>
            </w:pPr>
            <w:r>
              <w:rPr>
                <w:sz w:val="24"/>
                <w:szCs w:val="24"/>
              </w:rPr>
              <w:t>3,844</w:t>
            </w:r>
          </w:p>
        </w:tc>
        <w:tc>
          <w:tcPr>
            <w:tcW w:w="1176" w:type="dxa"/>
          </w:tcPr>
          <w:p w:rsidR="005668C1" w:rsidRDefault="005668C1" w:rsidP="00D87CCB">
            <w:pPr>
              <w:jc w:val="right"/>
              <w:rPr>
                <w:sz w:val="24"/>
                <w:szCs w:val="24"/>
              </w:rPr>
            </w:pPr>
            <w:r>
              <w:rPr>
                <w:sz w:val="24"/>
                <w:szCs w:val="24"/>
              </w:rPr>
              <w:t>3,127</w:t>
            </w:r>
          </w:p>
        </w:tc>
        <w:tc>
          <w:tcPr>
            <w:tcW w:w="1063" w:type="dxa"/>
            <w:tcBorders>
              <w:right w:val="single" w:sz="12" w:space="0" w:color="auto"/>
            </w:tcBorders>
          </w:tcPr>
          <w:p w:rsidR="005668C1" w:rsidRDefault="005668C1" w:rsidP="00D87CCB">
            <w:pPr>
              <w:jc w:val="right"/>
              <w:rPr>
                <w:sz w:val="24"/>
                <w:szCs w:val="24"/>
              </w:rPr>
            </w:pPr>
            <w:r>
              <w:rPr>
                <w:sz w:val="24"/>
                <w:szCs w:val="24"/>
              </w:rPr>
              <w:t>-18.7</w:t>
            </w:r>
          </w:p>
        </w:tc>
        <w:tc>
          <w:tcPr>
            <w:tcW w:w="1164" w:type="dxa"/>
            <w:tcBorders>
              <w:left w:val="single" w:sz="12" w:space="0" w:color="auto"/>
            </w:tcBorders>
          </w:tcPr>
          <w:p w:rsidR="005668C1" w:rsidRDefault="005668C1" w:rsidP="00D87CCB">
            <w:pPr>
              <w:jc w:val="right"/>
              <w:rPr>
                <w:sz w:val="24"/>
                <w:szCs w:val="24"/>
              </w:rPr>
            </w:pPr>
            <w:r>
              <w:rPr>
                <w:sz w:val="24"/>
                <w:szCs w:val="24"/>
              </w:rPr>
              <w:t>3,844</w:t>
            </w:r>
          </w:p>
        </w:tc>
        <w:tc>
          <w:tcPr>
            <w:tcW w:w="1176" w:type="dxa"/>
          </w:tcPr>
          <w:p w:rsidR="005668C1" w:rsidRDefault="005668C1" w:rsidP="00D87CCB">
            <w:pPr>
              <w:jc w:val="right"/>
              <w:rPr>
                <w:sz w:val="24"/>
                <w:szCs w:val="24"/>
              </w:rPr>
            </w:pPr>
            <w:r>
              <w:rPr>
                <w:sz w:val="24"/>
                <w:szCs w:val="24"/>
              </w:rPr>
              <w:t>2,687</w:t>
            </w:r>
          </w:p>
        </w:tc>
        <w:tc>
          <w:tcPr>
            <w:tcW w:w="1063" w:type="dxa"/>
            <w:tcBorders>
              <w:right w:val="single" w:sz="12" w:space="0" w:color="auto"/>
            </w:tcBorders>
          </w:tcPr>
          <w:p w:rsidR="005668C1" w:rsidRDefault="005668C1" w:rsidP="00D87CCB">
            <w:pPr>
              <w:jc w:val="right"/>
              <w:rPr>
                <w:sz w:val="24"/>
                <w:szCs w:val="24"/>
              </w:rPr>
            </w:pPr>
            <w:r>
              <w:rPr>
                <w:sz w:val="24"/>
                <w:szCs w:val="24"/>
              </w:rPr>
              <w:t>-30.1</w:t>
            </w:r>
          </w:p>
        </w:tc>
      </w:tr>
      <w:tr w:rsidR="005668C1" w:rsidTr="00D87CCB">
        <w:tc>
          <w:tcPr>
            <w:tcW w:w="2002" w:type="dxa"/>
            <w:tcBorders>
              <w:right w:val="single" w:sz="12" w:space="0" w:color="auto"/>
            </w:tcBorders>
          </w:tcPr>
          <w:p w:rsidR="005668C1" w:rsidRDefault="005668C1" w:rsidP="00D87CCB">
            <w:pPr>
              <w:rPr>
                <w:sz w:val="24"/>
                <w:szCs w:val="24"/>
              </w:rPr>
            </w:pPr>
            <w:r>
              <w:rPr>
                <w:sz w:val="24"/>
                <w:szCs w:val="24"/>
              </w:rPr>
              <w:t>TOTAL</w:t>
            </w:r>
          </w:p>
        </w:tc>
        <w:tc>
          <w:tcPr>
            <w:tcW w:w="1176" w:type="dxa"/>
            <w:tcBorders>
              <w:left w:val="single" w:sz="12" w:space="0" w:color="auto"/>
              <w:bottom w:val="single" w:sz="12" w:space="0" w:color="auto"/>
            </w:tcBorders>
          </w:tcPr>
          <w:p w:rsidR="005668C1" w:rsidRDefault="005668C1" w:rsidP="00D87CCB">
            <w:pPr>
              <w:jc w:val="right"/>
              <w:rPr>
                <w:sz w:val="24"/>
                <w:szCs w:val="24"/>
              </w:rPr>
            </w:pPr>
            <w:r>
              <w:rPr>
                <w:sz w:val="24"/>
                <w:szCs w:val="24"/>
              </w:rPr>
              <w:t>2,095,600</w:t>
            </w:r>
          </w:p>
        </w:tc>
        <w:tc>
          <w:tcPr>
            <w:tcW w:w="1176" w:type="dxa"/>
            <w:tcBorders>
              <w:bottom w:val="single" w:sz="12" w:space="0" w:color="auto"/>
            </w:tcBorders>
          </w:tcPr>
          <w:p w:rsidR="005668C1" w:rsidRDefault="005668C1" w:rsidP="00D87CCB">
            <w:pPr>
              <w:jc w:val="right"/>
              <w:rPr>
                <w:sz w:val="24"/>
                <w:szCs w:val="24"/>
              </w:rPr>
            </w:pPr>
            <w:r>
              <w:rPr>
                <w:sz w:val="24"/>
                <w:szCs w:val="24"/>
              </w:rPr>
              <w:t>2,282,205</w:t>
            </w:r>
          </w:p>
        </w:tc>
        <w:tc>
          <w:tcPr>
            <w:tcW w:w="1063" w:type="dxa"/>
            <w:tcBorders>
              <w:bottom w:val="single" w:sz="12" w:space="0" w:color="auto"/>
              <w:right w:val="single" w:sz="12" w:space="0" w:color="auto"/>
            </w:tcBorders>
          </w:tcPr>
          <w:p w:rsidR="005668C1" w:rsidRDefault="005668C1" w:rsidP="00D87CCB">
            <w:pPr>
              <w:jc w:val="right"/>
              <w:rPr>
                <w:sz w:val="24"/>
                <w:szCs w:val="24"/>
              </w:rPr>
            </w:pPr>
            <w:r>
              <w:rPr>
                <w:sz w:val="24"/>
                <w:szCs w:val="24"/>
              </w:rPr>
              <w:t>8.9</w:t>
            </w:r>
          </w:p>
        </w:tc>
        <w:tc>
          <w:tcPr>
            <w:tcW w:w="1164" w:type="dxa"/>
            <w:tcBorders>
              <w:left w:val="single" w:sz="12" w:space="0" w:color="auto"/>
              <w:bottom w:val="single" w:sz="12" w:space="0" w:color="auto"/>
            </w:tcBorders>
          </w:tcPr>
          <w:p w:rsidR="005668C1" w:rsidRDefault="005668C1" w:rsidP="00D87CCB">
            <w:pPr>
              <w:jc w:val="right"/>
              <w:rPr>
                <w:sz w:val="24"/>
                <w:szCs w:val="24"/>
              </w:rPr>
            </w:pPr>
            <w:r>
              <w:rPr>
                <w:sz w:val="24"/>
                <w:szCs w:val="24"/>
              </w:rPr>
              <w:t>2,129,485</w:t>
            </w:r>
          </w:p>
        </w:tc>
        <w:tc>
          <w:tcPr>
            <w:tcW w:w="1176" w:type="dxa"/>
            <w:tcBorders>
              <w:bottom w:val="single" w:sz="12" w:space="0" w:color="auto"/>
            </w:tcBorders>
          </w:tcPr>
          <w:p w:rsidR="005668C1" w:rsidRDefault="005668C1" w:rsidP="00D87CCB">
            <w:pPr>
              <w:jc w:val="right"/>
              <w:rPr>
                <w:sz w:val="24"/>
                <w:szCs w:val="24"/>
              </w:rPr>
            </w:pPr>
            <w:r>
              <w:rPr>
                <w:sz w:val="24"/>
                <w:szCs w:val="24"/>
              </w:rPr>
              <w:t>2,170,409</w:t>
            </w:r>
          </w:p>
        </w:tc>
        <w:tc>
          <w:tcPr>
            <w:tcW w:w="1063" w:type="dxa"/>
            <w:tcBorders>
              <w:bottom w:val="single" w:sz="12" w:space="0" w:color="auto"/>
              <w:right w:val="single" w:sz="12" w:space="0" w:color="auto"/>
            </w:tcBorders>
          </w:tcPr>
          <w:p w:rsidR="005668C1" w:rsidRDefault="005668C1" w:rsidP="00D87CCB">
            <w:pPr>
              <w:jc w:val="right"/>
              <w:rPr>
                <w:sz w:val="24"/>
                <w:szCs w:val="24"/>
              </w:rPr>
            </w:pPr>
            <w:r>
              <w:rPr>
                <w:sz w:val="24"/>
                <w:szCs w:val="24"/>
              </w:rPr>
              <w:t>1.9</w:t>
            </w:r>
          </w:p>
        </w:tc>
      </w:tr>
    </w:tbl>
    <w:p w:rsidR="005668C1" w:rsidRDefault="005668C1" w:rsidP="00DC718D">
      <w:pPr>
        <w:spacing w:line="480" w:lineRule="auto"/>
        <w:jc w:val="both"/>
      </w:pPr>
    </w:p>
    <w:p w:rsidR="005308CD" w:rsidRDefault="005308CD" w:rsidP="00DC718D">
      <w:pPr>
        <w:spacing w:line="480" w:lineRule="auto"/>
        <w:jc w:val="both"/>
      </w:pPr>
    </w:p>
    <w:p w:rsidR="00D27976" w:rsidRDefault="00D27976" w:rsidP="00DC718D">
      <w:pPr>
        <w:spacing w:line="480" w:lineRule="auto"/>
        <w:jc w:val="both"/>
      </w:pPr>
    </w:p>
    <w:p w:rsidR="00D27976" w:rsidRDefault="00D27976" w:rsidP="00DC718D">
      <w:pPr>
        <w:spacing w:line="480" w:lineRule="auto"/>
        <w:jc w:val="both"/>
        <w:sectPr w:rsidR="00D27976" w:rsidSect="00B25F84">
          <w:headerReference w:type="default" r:id="rId33"/>
          <w:pgSz w:w="12240" w:h="15840" w:code="1"/>
          <w:pgMar w:top="1440" w:right="1800" w:bottom="994" w:left="1800" w:header="720" w:footer="720" w:gutter="0"/>
          <w:pgNumType w:start="1"/>
          <w:cols w:space="720"/>
          <w:docGrid w:linePitch="272"/>
        </w:sectPr>
      </w:pPr>
    </w:p>
    <w:p w:rsidR="00D27976" w:rsidRDefault="00D27976" w:rsidP="00DC718D">
      <w:pPr>
        <w:spacing w:line="480" w:lineRule="auto"/>
        <w:jc w:val="both"/>
        <w:rPr>
          <w:highlight w:val="yellow"/>
        </w:rPr>
      </w:pPr>
    </w:p>
    <w:p w:rsidR="00335956" w:rsidRPr="00335956" w:rsidRDefault="00335956" w:rsidP="00DC718D">
      <w:pPr>
        <w:spacing w:line="480" w:lineRule="auto"/>
        <w:jc w:val="both"/>
        <w:rPr>
          <w:sz w:val="24"/>
          <w:szCs w:val="24"/>
        </w:rPr>
      </w:pPr>
      <w:r w:rsidRPr="00335956">
        <w:rPr>
          <w:sz w:val="24"/>
          <w:szCs w:val="24"/>
        </w:rPr>
        <w:t xml:space="preserve">Summary of </w:t>
      </w:r>
      <w:r>
        <w:rPr>
          <w:sz w:val="24"/>
          <w:szCs w:val="24"/>
        </w:rPr>
        <w:t>Staff-</w:t>
      </w:r>
      <w:r w:rsidR="000A6FEB">
        <w:rPr>
          <w:sz w:val="24"/>
          <w:szCs w:val="24"/>
        </w:rPr>
        <w:t>Recommended</w:t>
      </w:r>
      <w:r>
        <w:rPr>
          <w:sz w:val="24"/>
          <w:szCs w:val="24"/>
        </w:rPr>
        <w:t xml:space="preserve"> </w:t>
      </w:r>
      <w:r w:rsidRPr="00335956">
        <w:rPr>
          <w:sz w:val="24"/>
          <w:szCs w:val="24"/>
        </w:rPr>
        <w:t xml:space="preserve">Retail </w:t>
      </w:r>
      <w:r w:rsidR="000A6FEB">
        <w:rPr>
          <w:sz w:val="24"/>
          <w:szCs w:val="24"/>
        </w:rPr>
        <w:t>Rates</w:t>
      </w:r>
    </w:p>
    <w:p w:rsidR="00D27976" w:rsidRDefault="00335956" w:rsidP="00DC718D">
      <w:pPr>
        <w:spacing w:line="480" w:lineRule="auto"/>
        <w:jc w:val="both"/>
      </w:pPr>
      <w:r w:rsidRPr="00335956">
        <w:rPr>
          <w:noProof/>
        </w:rPr>
        <w:drawing>
          <wp:inline distT="0" distB="0" distL="0" distR="0">
            <wp:extent cx="5486400" cy="5558700"/>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86400" cy="5558700"/>
                    </a:xfrm>
                    <a:prstGeom prst="rect">
                      <a:avLst/>
                    </a:prstGeom>
                    <a:noFill/>
                    <a:ln>
                      <a:noFill/>
                    </a:ln>
                  </pic:spPr>
                </pic:pic>
              </a:graphicData>
            </a:graphic>
          </wp:inline>
        </w:drawing>
      </w:r>
    </w:p>
    <w:p w:rsidR="00767EDA" w:rsidRDefault="00767EDA" w:rsidP="009A7034"/>
    <w:p w:rsidR="00767EDA" w:rsidRDefault="00767EDA" w:rsidP="00DC718D">
      <w:pPr>
        <w:spacing w:line="480" w:lineRule="auto"/>
        <w:jc w:val="both"/>
      </w:pPr>
    </w:p>
    <w:p w:rsidR="00D27976" w:rsidRDefault="00D27976" w:rsidP="00DC718D">
      <w:pPr>
        <w:spacing w:line="480" w:lineRule="auto"/>
        <w:jc w:val="both"/>
      </w:pPr>
    </w:p>
    <w:p w:rsidR="004C5042" w:rsidRDefault="004C5042" w:rsidP="000D710B">
      <w:pPr>
        <w:spacing w:line="480" w:lineRule="auto"/>
        <w:jc w:val="both"/>
      </w:pPr>
    </w:p>
    <w:sectPr w:rsidR="004C5042" w:rsidSect="00B25F84">
      <w:headerReference w:type="default" r:id="rId35"/>
      <w:pgSz w:w="12240" w:h="15840" w:code="1"/>
      <w:pgMar w:top="1440" w:right="1800" w:bottom="994" w:left="180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390" w:rsidRDefault="00AD1390">
      <w:r>
        <w:separator/>
      </w:r>
    </w:p>
  </w:endnote>
  <w:endnote w:type="continuationSeparator" w:id="0">
    <w:p w:rsidR="00AD1390" w:rsidRDefault="00AD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IDFont+F2">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D1390" w:rsidRDefault="00AD13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Footer"/>
      <w:framePr w:wrap="around" w:vAnchor="text" w:hAnchor="margin" w:xAlign="center" w:y="1"/>
      <w:jc w:val="right"/>
      <w:rPr>
        <w:rStyle w:val="PageNumber"/>
      </w:rPr>
    </w:pPr>
  </w:p>
  <w:p w:rsidR="00AD1390" w:rsidRDefault="00AD1390" w:rsidP="008A458D">
    <w:pPr>
      <w:pStyle w:val="Footer"/>
      <w:framePr w:wrap="around" w:vAnchor="text" w:hAnchor="margin" w:xAlign="center" w:y="1"/>
      <w:pBdr>
        <w:top w:val="single" w:sz="4" w:space="1" w:color="auto"/>
      </w:pBdr>
      <w:rPr>
        <w:rStyle w:val="PageNumber"/>
      </w:rPr>
    </w:pPr>
    <w:r>
      <w:t xml:space="preserve">Redacted Direct Testimony of Brian T. Murphy  </w:t>
    </w:r>
    <w:r>
      <w:tab/>
      <w:t xml:space="preserve">                                                                       June 12, </w:t>
    </w:r>
    <w:r w:rsidRPr="008A458D">
      <w:t>201</w:t>
    </w:r>
    <w:r>
      <w:t>9</w:t>
    </w:r>
    <w:r>
      <w:rPr>
        <w:b/>
      </w:rPr>
      <w:tab/>
    </w:r>
  </w:p>
  <w:p w:rsidR="00AD1390" w:rsidRDefault="00AD1390">
    <w:pPr>
      <w:pStyle w:val="Footer"/>
      <w:framePr w:wrap="around" w:vAnchor="text" w:hAnchor="margin" w:xAlign="center" w:y="1"/>
      <w:ind w:right="360"/>
      <w:jc w:val="right"/>
      <w:rPr>
        <w:rStyle w:val="PageNumber"/>
      </w:rPr>
    </w:pPr>
  </w:p>
  <w:p w:rsidR="00AD1390" w:rsidRDefault="00AD1390">
    <w:pPr>
      <w:pStyle w:val="Footer"/>
      <w:framePr w:wrap="around" w:vAnchor="text" w:hAnchor="margin" w:xAlign="center" w:y="1"/>
      <w:jc w:val="right"/>
      <w:rPr>
        <w:rStyle w:val="PageNumber"/>
      </w:rPr>
    </w:pPr>
  </w:p>
  <w:p w:rsidR="00AD1390" w:rsidRDefault="00AD1390">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390" w:rsidRDefault="00AD1390">
      <w:r>
        <w:separator/>
      </w:r>
    </w:p>
  </w:footnote>
  <w:footnote w:type="continuationSeparator" w:id="0">
    <w:p w:rsidR="00AD1390" w:rsidRDefault="00AD1390">
      <w:r>
        <w:continuationSeparator/>
      </w:r>
    </w:p>
  </w:footnote>
  <w:footnote w:id="1">
    <w:p w:rsidR="00AD1390" w:rsidRDefault="00AD1390" w:rsidP="00526B12">
      <w:pPr>
        <w:pStyle w:val="FootnoteText"/>
        <w:ind w:firstLine="720"/>
      </w:pPr>
      <w:r>
        <w:rPr>
          <w:rStyle w:val="FootnoteReference"/>
        </w:rPr>
        <w:footnoteRef/>
      </w:r>
      <w:r>
        <w:t xml:space="preserve"> Direct Testimony of Matthew A. </w:t>
      </w:r>
      <w:proofErr w:type="spellStart"/>
      <w:r>
        <w:t>Troxle</w:t>
      </w:r>
      <w:proofErr w:type="spellEnd"/>
      <w:r>
        <w:t xml:space="preserve"> at 39.</w:t>
      </w:r>
    </w:p>
  </w:footnote>
  <w:footnote w:id="2">
    <w:p w:rsidR="00AD1390" w:rsidRDefault="00AD1390" w:rsidP="007D7D99">
      <w:pPr>
        <w:pStyle w:val="FootnoteText"/>
        <w:ind w:firstLine="720"/>
        <w:jc w:val="both"/>
      </w:pPr>
      <w:r>
        <w:rPr>
          <w:rStyle w:val="FootnoteReference"/>
        </w:rPr>
        <w:footnoteRef/>
      </w:r>
      <w:r>
        <w:t xml:space="preserve"> Net of wholesale revenues as presented by CEHE.</w:t>
      </w:r>
    </w:p>
  </w:footnote>
  <w:footnote w:id="3">
    <w:p w:rsidR="00AD1390" w:rsidRDefault="00AD1390" w:rsidP="007D7D99">
      <w:pPr>
        <w:pStyle w:val="FootnoteText"/>
        <w:ind w:firstLine="720"/>
        <w:jc w:val="both"/>
      </w:pPr>
      <w:r>
        <w:rPr>
          <w:rStyle w:val="FootnoteReference"/>
        </w:rPr>
        <w:footnoteRef/>
      </w:r>
      <w:r>
        <w:t xml:space="preserve"> This is the term CEHE uses for its retail delivery revenue requirement.  The wholesale revenue requirement is overlaid within the retail cost of service’s transmission function, and Account 565 is used in that function as a plug to </w:t>
      </w:r>
      <w:r w:rsidRPr="000244D1">
        <w:t xml:space="preserve">ensure that the transmission functional </w:t>
      </w:r>
      <w:r>
        <w:t>“revenue requirement”</w:t>
      </w:r>
      <w:r w:rsidRPr="000244D1">
        <w:t xml:space="preserve"> ties to the Company’s total wholesale transmission expenses, which are costs associated with serving </w:t>
      </w:r>
      <w:r>
        <w:t>CEHE</w:t>
      </w:r>
      <w:r w:rsidRPr="000244D1">
        <w:t>’s retail customers that the Company incurs in its role as a DSP.</w:t>
      </w:r>
    </w:p>
  </w:footnote>
  <w:footnote w:id="4">
    <w:p w:rsidR="00AD1390" w:rsidRPr="00AF24CD" w:rsidRDefault="00AD1390" w:rsidP="007D7D99">
      <w:pPr>
        <w:pStyle w:val="FootnoteText"/>
        <w:ind w:firstLine="720"/>
        <w:jc w:val="both"/>
      </w:pPr>
      <w:r w:rsidRPr="00AF24CD">
        <w:rPr>
          <w:rStyle w:val="FootnoteReference"/>
        </w:rPr>
        <w:footnoteRef/>
      </w:r>
      <w:r w:rsidRPr="00AF24CD">
        <w:t xml:space="preserve"> Please note that CenterPoint has consolidated the Billing function specified in the Filing Package with</w:t>
      </w:r>
      <w:r>
        <w:t xml:space="preserve"> the TDCS function, which is reasonable.</w:t>
      </w:r>
    </w:p>
  </w:footnote>
  <w:footnote w:id="5">
    <w:p w:rsidR="00AD1390" w:rsidRDefault="00AD1390" w:rsidP="007D7D99">
      <w:pPr>
        <w:pStyle w:val="FootnoteText"/>
        <w:ind w:firstLine="720"/>
        <w:jc w:val="both"/>
      </w:pPr>
      <w:r>
        <w:rPr>
          <w:rStyle w:val="FootnoteReference"/>
        </w:rPr>
        <w:footnoteRef/>
      </w:r>
      <w:r>
        <w:t xml:space="preserve"> 16 TAC § 25.5(13):  </w:t>
      </w:r>
      <w:r w:rsidRPr="00D51E45">
        <w:rPr>
          <w:b/>
        </w:rPr>
        <w:t>Retail customer</w:t>
      </w:r>
      <w:r>
        <w:t xml:space="preserve"> -- The separately metered end-use customer who purchases and ultimately consumes electricity.</w:t>
      </w:r>
    </w:p>
  </w:footnote>
  <w:footnote w:id="6">
    <w:p w:rsidR="00AD1390" w:rsidRDefault="00AD1390" w:rsidP="007D7D99">
      <w:pPr>
        <w:pStyle w:val="FootnoteText"/>
        <w:ind w:firstLine="720"/>
        <w:jc w:val="both"/>
      </w:pPr>
      <w:r>
        <w:rPr>
          <w:rStyle w:val="FootnoteReference"/>
        </w:rPr>
        <w:footnoteRef/>
      </w:r>
      <w:r>
        <w:t xml:space="preserve"> 16 TAC § 25.192(e):  </w:t>
      </w:r>
      <w:r w:rsidRPr="009C5067">
        <w:rPr>
          <w:b/>
        </w:rPr>
        <w:t>Transmission cost of service</w:t>
      </w:r>
      <w:r>
        <w:t>. The transmission cost of service for each TSP shall be based on the expenses in Federal Energy Regulatory Commission (FERC) expense accounts 560-573 (or accounts with similar contents or amounts functionalized to the transmission function) plus the depreciation, federal income tax, and other associated taxes, and the commission-allowed rate of return based on FERC plant accounts 350-359 (or accounts with similar contents or amounts functionalized to the transmission function), less accumulated depreciation and accumulated deferred federal income taxes, as applicable.</w:t>
      </w:r>
    </w:p>
  </w:footnote>
  <w:footnote w:id="7">
    <w:p w:rsidR="00AD1390" w:rsidRDefault="00AD1390" w:rsidP="007D7D99">
      <w:pPr>
        <w:pStyle w:val="FootnoteText"/>
        <w:ind w:firstLine="720"/>
        <w:jc w:val="both"/>
      </w:pPr>
      <w:r>
        <w:rPr>
          <w:rStyle w:val="FootnoteReference"/>
        </w:rPr>
        <w:footnoteRef/>
      </w:r>
      <w:r>
        <w:t xml:space="preserve"> The Commission’s full definition of wholesale transmission service can be found at 16 TAC § 25.5(138): </w:t>
      </w:r>
      <w:r w:rsidRPr="0024248B">
        <w:rPr>
          <w:b/>
        </w:rPr>
        <w:t xml:space="preserve">Transmission service </w:t>
      </w:r>
      <w:r>
        <w:t xml:space="preserve">-- </w:t>
      </w:r>
      <w:proofErr w:type="spellStart"/>
      <w:r>
        <w:t>Service</w:t>
      </w:r>
      <w:proofErr w:type="spellEnd"/>
      <w:r>
        <w:t xml:space="preserve"> that allows a transmission service customer to use the transmission and distribution facilities of electric utilities, electric cooperatives and municipally owned utilities to efficiently and economically utilize generation resources to reliably serve its loads and to deliver power to another transmission service customer. Includes construction or enlargement of facilities, transmission over distribution facilities, control area services, scheduling resources, regulation services, reactive power support, voltage control, provision of operating reserves, and any other associated electrical service the commission determines appropriate, except that, on and after the implementation of customer choice in any portion of the Electric Reliability Council of Texas (ERCOT) region, control area services, scheduling resources, regulation services, provision of operating reserves, and reactive power support, voltage control and other services provided by generation resources are not “transmission service.”</w:t>
      </w:r>
    </w:p>
  </w:footnote>
  <w:footnote w:id="8">
    <w:p w:rsidR="00AD1390" w:rsidRDefault="00AD1390" w:rsidP="007D7D99">
      <w:pPr>
        <w:pStyle w:val="FootnoteText"/>
        <w:ind w:firstLine="720"/>
        <w:jc w:val="both"/>
      </w:pPr>
      <w:r>
        <w:rPr>
          <w:rStyle w:val="FootnoteReference"/>
        </w:rPr>
        <w:footnoteRef/>
      </w:r>
      <w:r>
        <w:t xml:space="preserve"> 16 TAC § 25.5(39) (relating to definitions):  </w:t>
      </w:r>
      <w:r w:rsidRPr="00443741">
        <w:rPr>
          <w:b/>
        </w:rPr>
        <w:t>Electric Reliability Council of Texas (ERCOT)</w:t>
      </w:r>
      <w:r>
        <w:t xml:space="preserve"> -- Refers to the independent organization and, in a geographic sense, refers to the area served by electric utilities, municipally owned utilities, and electric cooperatives that are not synchronously interconnected with electric utilities outside of the State of Texas.  16 TAC § 25.5(39):  </w:t>
      </w:r>
      <w:r w:rsidRPr="00E76052">
        <w:rPr>
          <w:b/>
        </w:rPr>
        <w:t>ERCOT region</w:t>
      </w:r>
      <w:r>
        <w:t xml:space="preserve"> -- The geographic area under the jurisdiction of the commission that is served by transmission service providers that are not synchronously interconnected with transmission service providers outside of the state of Texas.</w:t>
      </w:r>
    </w:p>
  </w:footnote>
  <w:footnote w:id="9">
    <w:p w:rsidR="00AD1390" w:rsidRPr="00CC7C73" w:rsidRDefault="00AD1390" w:rsidP="007D7D99">
      <w:pPr>
        <w:pStyle w:val="FootnoteText"/>
        <w:ind w:firstLine="720"/>
        <w:jc w:val="both"/>
      </w:pPr>
      <w:r w:rsidRPr="00CC7C73">
        <w:rPr>
          <w:rStyle w:val="FootnoteReference"/>
        </w:rPr>
        <w:footnoteRef/>
      </w:r>
      <w:r w:rsidRPr="00CC7C73">
        <w:t xml:space="preserve"> CenterPoint, Oncor, Texas-New Mexico Power, AEP Texas Central Division, AEP Texas North Division, and </w:t>
      </w:r>
      <w:proofErr w:type="spellStart"/>
      <w:r w:rsidRPr="00CC7C73">
        <w:t>Sharyland</w:t>
      </w:r>
      <w:proofErr w:type="spellEnd"/>
      <w:r w:rsidRPr="00CC7C73">
        <w:t>.</w:t>
      </w:r>
    </w:p>
  </w:footnote>
  <w:footnote w:id="10">
    <w:p w:rsidR="00AD1390" w:rsidRDefault="00AD1390" w:rsidP="007D7D99">
      <w:pPr>
        <w:pStyle w:val="FootnoteText"/>
        <w:ind w:firstLine="720"/>
        <w:jc w:val="both"/>
      </w:pPr>
      <w:r w:rsidRPr="00CC7C73">
        <w:rPr>
          <w:rStyle w:val="FootnoteReference"/>
        </w:rPr>
        <w:footnoteRef/>
      </w:r>
      <w:r w:rsidRPr="00CC7C73">
        <w:t xml:space="preserve"> Electric Transmission Texas, Wind Energy Transmission of Texas, Cross Texas Transmission, and Lone Star Transmission.</w:t>
      </w:r>
    </w:p>
  </w:footnote>
  <w:footnote w:id="11">
    <w:p w:rsidR="00AD1390" w:rsidRPr="002B3F5B" w:rsidRDefault="00AD1390" w:rsidP="007D7D99">
      <w:pPr>
        <w:pStyle w:val="FootnoteText"/>
        <w:ind w:firstLine="720"/>
        <w:jc w:val="both"/>
      </w:pPr>
      <w:r w:rsidRPr="002B3F5B">
        <w:rPr>
          <w:rStyle w:val="FootnoteReference"/>
        </w:rPr>
        <w:footnoteRef/>
      </w:r>
      <w:r w:rsidRPr="002B3F5B">
        <w:t xml:space="preserve"> Austin Energy, Brownsville Public Utilities Board, Bryan Texas Utilities, College Station, City of Denton Municipal Electric, Floresville Electric Power System, Garland Power and Light, GEUS (Formerly Greenville), Kerrville Public Utility Board, New Braunfels Utilities, San Antonio City Public Service, and Texas Municipal Power Agency.</w:t>
      </w:r>
    </w:p>
  </w:footnote>
  <w:footnote w:id="12">
    <w:p w:rsidR="00AD1390" w:rsidRDefault="00AD1390" w:rsidP="007D7D99">
      <w:pPr>
        <w:pStyle w:val="FootnoteText"/>
        <w:ind w:firstLine="720"/>
        <w:jc w:val="both"/>
      </w:pPr>
      <w:r>
        <w:rPr>
          <w:rStyle w:val="FootnoteReference"/>
        </w:rPr>
        <w:footnoteRef/>
      </w:r>
      <w:r>
        <w:t xml:space="preserve"> Bandera, Bluebonnet, Brazos, Central Texas, Cherokee County, Deep East Texas, East Texas</w:t>
      </w:r>
      <w:r w:rsidRPr="000C1F1D">
        <w:t xml:space="preserve">, </w:t>
      </w:r>
      <w:r>
        <w:t>Fannin, Farmers, Fayette, Golden Spread, Grayson-Collin</w:t>
      </w:r>
      <w:r w:rsidRPr="000C1F1D">
        <w:t>, Guadalupe V</w:t>
      </w:r>
      <w:r>
        <w:t>alley, Houston County</w:t>
      </w:r>
      <w:r w:rsidRPr="000C1F1D">
        <w:t>, Lamar County</w:t>
      </w:r>
      <w:r>
        <w:t>,</w:t>
      </w:r>
      <w:r w:rsidRPr="000C1F1D">
        <w:t xml:space="preserve"> </w:t>
      </w:r>
      <w:proofErr w:type="spellStart"/>
      <w:r>
        <w:t>Lyntegar</w:t>
      </w:r>
      <w:proofErr w:type="spellEnd"/>
      <w:r>
        <w:t xml:space="preserve">, </w:t>
      </w:r>
      <w:proofErr w:type="spellStart"/>
      <w:r>
        <w:t>Pedernales</w:t>
      </w:r>
      <w:proofErr w:type="spellEnd"/>
      <w:r w:rsidRPr="000C1F1D">
        <w:t>, Raybur</w:t>
      </w:r>
      <w:r>
        <w:t>n Country, Rio Grande, San Bernard, San Miguel, South Texas</w:t>
      </w:r>
      <w:r w:rsidRPr="000C1F1D">
        <w:t xml:space="preserve">, Southwest </w:t>
      </w:r>
      <w:r>
        <w:t>Texas, Taylor, Trinity Valley</w:t>
      </w:r>
      <w:r w:rsidRPr="000C1F1D">
        <w:t xml:space="preserve">, </w:t>
      </w:r>
      <w:r>
        <w:t>and Wood County Electric Cooperative.</w:t>
      </w:r>
    </w:p>
  </w:footnote>
  <w:footnote w:id="13">
    <w:p w:rsidR="00AD1390" w:rsidRPr="00CC7C73" w:rsidRDefault="00AD1390" w:rsidP="007D7D99">
      <w:pPr>
        <w:pStyle w:val="FootnoteText"/>
        <w:ind w:firstLine="720"/>
        <w:jc w:val="both"/>
      </w:pPr>
      <w:r w:rsidRPr="00CC7C73">
        <w:rPr>
          <w:rStyle w:val="FootnoteReference"/>
        </w:rPr>
        <w:footnoteRef/>
      </w:r>
      <w:r w:rsidRPr="00CC7C73">
        <w:t xml:space="preserve"> Lower Colorado River Authority.</w:t>
      </w:r>
    </w:p>
  </w:footnote>
  <w:footnote w:id="14">
    <w:p w:rsidR="00AD1390" w:rsidRPr="00083701" w:rsidRDefault="00AD1390" w:rsidP="007D7D99">
      <w:pPr>
        <w:pStyle w:val="FootnoteText"/>
        <w:ind w:firstLine="720"/>
        <w:jc w:val="both"/>
      </w:pPr>
      <w:r w:rsidRPr="00083701">
        <w:rPr>
          <w:rStyle w:val="FootnoteReference"/>
        </w:rPr>
        <w:footnoteRef/>
      </w:r>
      <w:r w:rsidRPr="00083701">
        <w:t xml:space="preserve"> 16 TAC § </w:t>
      </w:r>
      <w:r>
        <w:t>25.5(140):</w:t>
      </w:r>
      <w:r w:rsidRPr="00083701">
        <w:t xml:space="preserve">  </w:t>
      </w:r>
      <w:r w:rsidRPr="00083701">
        <w:rPr>
          <w:b/>
        </w:rPr>
        <w:t>Transmission Service Provider</w:t>
      </w:r>
      <w:r>
        <w:t>—</w:t>
      </w:r>
      <w:r w:rsidRPr="00083701">
        <w:t>an electric utility, municipally-owned utility, or electric cooperative that owns or operates facilities used for the transmission of electricity.</w:t>
      </w:r>
    </w:p>
  </w:footnote>
  <w:footnote w:id="15">
    <w:p w:rsidR="00AD1390" w:rsidRPr="0025047F" w:rsidRDefault="00AD1390" w:rsidP="007D7D99">
      <w:pPr>
        <w:pStyle w:val="FootnoteText"/>
        <w:ind w:firstLine="720"/>
        <w:jc w:val="both"/>
      </w:pPr>
      <w:r w:rsidRPr="0025047F">
        <w:rPr>
          <w:rStyle w:val="FootnoteReference"/>
        </w:rPr>
        <w:footnoteRef/>
      </w:r>
      <w:r w:rsidRPr="0025047F">
        <w:t xml:space="preserve"> </w:t>
      </w:r>
      <w:r w:rsidRPr="0025047F">
        <w:rPr>
          <w:i/>
        </w:rPr>
        <w:t>Commission Staff’s Petition to Set 2019 Wholesale Transmission Service Charges for the Electric Reliability Council of Texas</w:t>
      </w:r>
      <w:r w:rsidRPr="0025047F">
        <w:t>, Docket No. 48928.</w:t>
      </w:r>
    </w:p>
  </w:footnote>
  <w:footnote w:id="16">
    <w:p w:rsidR="00AD1390" w:rsidRDefault="00AD1390" w:rsidP="0025492F">
      <w:pPr>
        <w:pStyle w:val="FootnoteText"/>
        <w:ind w:firstLine="720"/>
      </w:pPr>
      <w:r>
        <w:rPr>
          <w:rStyle w:val="FootnoteReference"/>
        </w:rPr>
        <w:footnoteRef/>
      </w:r>
      <w:r>
        <w:t xml:space="preserve"> Per kilowatt of ERCOT Average 4CP demand.</w:t>
      </w:r>
    </w:p>
  </w:footnote>
  <w:footnote w:id="17">
    <w:p w:rsidR="00AD1390" w:rsidRDefault="00AD1390" w:rsidP="007D7D99">
      <w:pPr>
        <w:pStyle w:val="FootnoteText"/>
        <w:ind w:firstLine="720"/>
        <w:jc w:val="both"/>
      </w:pPr>
      <w:r>
        <w:rPr>
          <w:rStyle w:val="FootnoteReference"/>
        </w:rPr>
        <w:footnoteRef/>
      </w:r>
      <w:r>
        <w:t xml:space="preserve"> The Commission’s full definition of a transmission service customer can be found at 16 TAC § 25.5(139):  </w:t>
      </w:r>
      <w:r w:rsidRPr="00D0077C">
        <w:rPr>
          <w:b/>
        </w:rPr>
        <w:t>Transmission service customer</w:t>
      </w:r>
      <w:r>
        <w:t xml:space="preserve"> -- A transmission service provider, distribution service provider, river authority, municipally-owned utility, electric cooperative, power generation company, retail electric provider, federal power marketing agency, exempt wholesale generator, qualifying facility, power marketer, or other person whom the commission has determined to be eligible to be a transmission service customer. A retail customer, as defined in this section, may not be a transmission service customer.</w:t>
      </w:r>
    </w:p>
  </w:footnote>
  <w:footnote w:id="18">
    <w:p w:rsidR="00AD1390" w:rsidRPr="00463078" w:rsidRDefault="00AD1390" w:rsidP="007D7D99">
      <w:pPr>
        <w:pStyle w:val="FootnoteText"/>
        <w:ind w:firstLine="720"/>
        <w:jc w:val="both"/>
      </w:pPr>
      <w:r w:rsidRPr="00463078">
        <w:rPr>
          <w:rStyle w:val="FootnoteReference"/>
        </w:rPr>
        <w:footnoteRef/>
      </w:r>
      <w:r w:rsidRPr="00463078">
        <w:t xml:space="preserve"> </w:t>
      </w:r>
      <w:r w:rsidRPr="007A58E1">
        <w:t xml:space="preserve">AEP Texas Central Company, AEP Texas North Company, Bandera Electric Co-op </w:t>
      </w:r>
      <w:proofErr w:type="spellStart"/>
      <w:r w:rsidRPr="007A58E1">
        <w:t>Inc</w:t>
      </w:r>
      <w:proofErr w:type="spellEnd"/>
      <w:r w:rsidRPr="007A58E1">
        <w:t xml:space="preserve">, Bartlett Electric Co-op </w:t>
      </w:r>
      <w:proofErr w:type="spellStart"/>
      <w:r w:rsidRPr="007A58E1">
        <w:t>Inc</w:t>
      </w:r>
      <w:proofErr w:type="spellEnd"/>
      <w:r w:rsidRPr="007A58E1">
        <w:t xml:space="preserve">, Big Country Electric Co-op </w:t>
      </w:r>
      <w:proofErr w:type="spellStart"/>
      <w:r w:rsidRPr="007A58E1">
        <w:t>Inc</w:t>
      </w:r>
      <w:proofErr w:type="spellEnd"/>
      <w:r w:rsidRPr="007A58E1">
        <w:t xml:space="preserve">, Bluebonnet Electric Co-op </w:t>
      </w:r>
      <w:proofErr w:type="spellStart"/>
      <w:r w:rsidRPr="007A58E1">
        <w:t>Inc</w:t>
      </w:r>
      <w:proofErr w:type="spellEnd"/>
      <w:r w:rsidRPr="007A58E1">
        <w:t xml:space="preserve">, Brazos Electric Power Co-op </w:t>
      </w:r>
      <w:proofErr w:type="spellStart"/>
      <w:r w:rsidRPr="007A58E1">
        <w:t>Inc</w:t>
      </w:r>
      <w:proofErr w:type="spellEnd"/>
      <w:r w:rsidRPr="007A58E1">
        <w:t xml:space="preserve">, Brownsville Public Utilities Board, Bryan Texas Utilities, CenterPoint Energy Houston Electric LLC, Central Texas Electric Co-op </w:t>
      </w:r>
      <w:proofErr w:type="spellStart"/>
      <w:r w:rsidRPr="007A58E1">
        <w:t>Inc</w:t>
      </w:r>
      <w:proofErr w:type="spellEnd"/>
      <w:r w:rsidRPr="007A58E1">
        <w:t xml:space="preserve">, Cherokee County Electric Co-op </w:t>
      </w:r>
      <w:proofErr w:type="spellStart"/>
      <w:r w:rsidRPr="007A58E1">
        <w:t>Assoc</w:t>
      </w:r>
      <w:proofErr w:type="spellEnd"/>
      <w:r w:rsidRPr="007A58E1">
        <w:t xml:space="preserve">, City of Austin dba Austin Energy, City of Bartlett, City of Bastrop, City of Bellville, City of Boerne, City of Bowie, City of Brady, City of Brenham, City of Bridgeport </w:t>
      </w:r>
      <w:proofErr w:type="spellStart"/>
      <w:r w:rsidRPr="007A58E1">
        <w:t>Mun</w:t>
      </w:r>
      <w:proofErr w:type="spellEnd"/>
      <w:r w:rsidRPr="007A58E1">
        <w:t xml:space="preserve"> Elec Sys, City of Burnet, City Coleman, City of College Station, City of Cuero, City of Farmersville, City of Flatonia, City of Floresville dba Floresville Elec Light and Power, City of Fredericksburg, City of Garland, City of Georgetown, City of Giddings, City of Goldsmith, City of Goldthwaite, City of Gonzales, City of Hallettsville, City of Hearne Municipal Electric System, City of Hempstead, City of La Grange, City of Lampasas, City of Lexington, City of Llano, City of Lockhart, City of </w:t>
      </w:r>
      <w:proofErr w:type="spellStart"/>
      <w:r w:rsidRPr="007A58E1">
        <w:t>Luling</w:t>
      </w:r>
      <w:proofErr w:type="spellEnd"/>
      <w:r w:rsidRPr="007A58E1">
        <w:t xml:space="preserve">, City of Mason, City of Moulton, City of Robstown Utility System, City of San Marcos, </w:t>
      </w:r>
      <w:proofErr w:type="spellStart"/>
      <w:r w:rsidRPr="007A58E1">
        <w:t>Ciy</w:t>
      </w:r>
      <w:proofErr w:type="spellEnd"/>
      <w:r w:rsidRPr="007A58E1">
        <w:t xml:space="preserve"> of San Saba, City of Sanger, City of Schulenburg, City of Seguin, City of Seymour, City of Shiner, City of Smithville, City of </w:t>
      </w:r>
      <w:proofErr w:type="spellStart"/>
      <w:r w:rsidRPr="007A58E1">
        <w:t>Waelder</w:t>
      </w:r>
      <w:proofErr w:type="spellEnd"/>
      <w:r w:rsidRPr="007A58E1">
        <w:t xml:space="preserve">, City of Weimar, City of Whitesboro, City of Yoakum, </w:t>
      </w:r>
      <w:proofErr w:type="spellStart"/>
      <w:r w:rsidRPr="007A58E1">
        <w:t>Colemand</w:t>
      </w:r>
      <w:proofErr w:type="spellEnd"/>
      <w:r w:rsidRPr="007A58E1">
        <w:t xml:space="preserve"> County Electric Co-op </w:t>
      </w:r>
      <w:proofErr w:type="spellStart"/>
      <w:r w:rsidRPr="007A58E1">
        <w:t>Inc</w:t>
      </w:r>
      <w:proofErr w:type="spellEnd"/>
      <w:r w:rsidRPr="007A58E1">
        <w:t xml:space="preserve">, Comanche Electric Co-op </w:t>
      </w:r>
      <w:proofErr w:type="spellStart"/>
      <w:r w:rsidRPr="007A58E1">
        <w:t>Assoc</w:t>
      </w:r>
      <w:proofErr w:type="spellEnd"/>
      <w:r w:rsidRPr="007A58E1">
        <w:t xml:space="preserve">, Concho Valley Electric Co-op </w:t>
      </w:r>
      <w:proofErr w:type="spellStart"/>
      <w:r w:rsidRPr="007A58E1">
        <w:t>Inc</w:t>
      </w:r>
      <w:proofErr w:type="spellEnd"/>
      <w:r w:rsidRPr="007A58E1">
        <w:t xml:space="preserve">, Cooke County Electric Co-op </w:t>
      </w:r>
      <w:proofErr w:type="spellStart"/>
      <w:r w:rsidRPr="007A58E1">
        <w:t>Assoc</w:t>
      </w:r>
      <w:proofErr w:type="spellEnd"/>
      <w:r w:rsidRPr="007A58E1">
        <w:t xml:space="preserve"> </w:t>
      </w:r>
      <w:proofErr w:type="spellStart"/>
      <w:r w:rsidRPr="007A58E1">
        <w:t>Inc</w:t>
      </w:r>
      <w:proofErr w:type="spellEnd"/>
      <w:r w:rsidRPr="007A58E1">
        <w:t xml:space="preserve">, CPS Energy, Deep East Texas Electric Co-op </w:t>
      </w:r>
      <w:proofErr w:type="spellStart"/>
      <w:r w:rsidRPr="007A58E1">
        <w:t>Inc</w:t>
      </w:r>
      <w:proofErr w:type="spellEnd"/>
      <w:r w:rsidRPr="007A58E1">
        <w:t xml:space="preserve">, Denton Country Elec Co dba </w:t>
      </w:r>
      <w:proofErr w:type="spellStart"/>
      <w:r w:rsidRPr="007A58E1">
        <w:t>CoServe</w:t>
      </w:r>
      <w:proofErr w:type="spellEnd"/>
      <w:r w:rsidRPr="007A58E1">
        <w:t xml:space="preserve"> Electric, Denton Municipal Electric, Fannin County Electric Co-op </w:t>
      </w:r>
      <w:proofErr w:type="spellStart"/>
      <w:r w:rsidRPr="007A58E1">
        <w:t>Inc</w:t>
      </w:r>
      <w:proofErr w:type="spellEnd"/>
      <w:r w:rsidRPr="007A58E1">
        <w:t xml:space="preserve">, Farmers Electric Co-op </w:t>
      </w:r>
      <w:proofErr w:type="spellStart"/>
      <w:r w:rsidRPr="007A58E1">
        <w:t>Inc</w:t>
      </w:r>
      <w:proofErr w:type="spellEnd"/>
      <w:r w:rsidRPr="007A58E1">
        <w:t xml:space="preserve">, Electric Co-op </w:t>
      </w:r>
      <w:proofErr w:type="spellStart"/>
      <w:r w:rsidRPr="007A58E1">
        <w:t>Inc</w:t>
      </w:r>
      <w:proofErr w:type="spellEnd"/>
      <w:r w:rsidRPr="007A58E1">
        <w:t xml:space="preserve"> dba FEC Electric, Farmers Electric Co-op </w:t>
      </w:r>
      <w:proofErr w:type="spellStart"/>
      <w:r w:rsidRPr="007A58E1">
        <w:t>Inc</w:t>
      </w:r>
      <w:proofErr w:type="spellEnd"/>
      <w:r w:rsidRPr="007A58E1">
        <w:t xml:space="preserve"> NPL, Farmers Electric Co-op </w:t>
      </w:r>
      <w:proofErr w:type="spellStart"/>
      <w:r w:rsidRPr="007A58E1">
        <w:t>Inc</w:t>
      </w:r>
      <w:proofErr w:type="spellEnd"/>
      <w:r w:rsidRPr="007A58E1">
        <w:t xml:space="preserve"> PRTN RC, Fayette Electric Co-op </w:t>
      </w:r>
      <w:proofErr w:type="spellStart"/>
      <w:r w:rsidRPr="007A58E1">
        <w:t>Inc</w:t>
      </w:r>
      <w:proofErr w:type="spellEnd"/>
      <w:r w:rsidRPr="007A58E1">
        <w:t xml:space="preserve">, Fort Belknap Electric Co-op </w:t>
      </w:r>
      <w:proofErr w:type="spellStart"/>
      <w:r w:rsidRPr="007A58E1">
        <w:t>Inc</w:t>
      </w:r>
      <w:proofErr w:type="spellEnd"/>
      <w:r w:rsidRPr="007A58E1">
        <w:t xml:space="preserve">, GEUS, Granbury Municipal Utilities, Grayson Collin Electric Co-op </w:t>
      </w:r>
      <w:proofErr w:type="spellStart"/>
      <w:r w:rsidRPr="007A58E1">
        <w:t>Inc</w:t>
      </w:r>
      <w:proofErr w:type="spellEnd"/>
      <w:r w:rsidRPr="007A58E1">
        <w:t xml:space="preserve">, Guadalupe Valley Electric Co-op </w:t>
      </w:r>
      <w:proofErr w:type="spellStart"/>
      <w:r w:rsidRPr="007A58E1">
        <w:t>Inc</w:t>
      </w:r>
      <w:proofErr w:type="spellEnd"/>
      <w:r w:rsidRPr="007A58E1">
        <w:t xml:space="preserve">, Hamilton County Electric Co-op, Heart of Texas Electric Co-op </w:t>
      </w:r>
      <w:proofErr w:type="spellStart"/>
      <w:r w:rsidRPr="007A58E1">
        <w:t>Inc</w:t>
      </w:r>
      <w:proofErr w:type="spellEnd"/>
      <w:r w:rsidRPr="007A58E1">
        <w:t xml:space="preserve">, </w:t>
      </w:r>
      <w:proofErr w:type="spellStart"/>
      <w:r w:rsidRPr="007A58E1">
        <w:t>Hilco</w:t>
      </w:r>
      <w:proofErr w:type="spellEnd"/>
      <w:r w:rsidRPr="007A58E1">
        <w:t xml:space="preserve"> Electric Co-op </w:t>
      </w:r>
      <w:proofErr w:type="spellStart"/>
      <w:r w:rsidRPr="007A58E1">
        <w:t>Inc</w:t>
      </w:r>
      <w:proofErr w:type="spellEnd"/>
      <w:r w:rsidRPr="007A58E1">
        <w:t xml:space="preserve">, Houston County Electric Co-op </w:t>
      </w:r>
      <w:proofErr w:type="spellStart"/>
      <w:r w:rsidRPr="007A58E1">
        <w:t>Inc</w:t>
      </w:r>
      <w:proofErr w:type="spellEnd"/>
      <w:r w:rsidRPr="007A58E1">
        <w:t xml:space="preserve">, J A C Electric Co-op </w:t>
      </w:r>
      <w:proofErr w:type="spellStart"/>
      <w:r w:rsidRPr="007A58E1">
        <w:t>Inc</w:t>
      </w:r>
      <w:proofErr w:type="spellEnd"/>
      <w:r w:rsidRPr="007A58E1">
        <w:t xml:space="preserve">, Jackson Electric Co-op </w:t>
      </w:r>
      <w:proofErr w:type="spellStart"/>
      <w:r w:rsidRPr="007A58E1">
        <w:t>Inc</w:t>
      </w:r>
      <w:proofErr w:type="spellEnd"/>
      <w:r w:rsidRPr="007A58E1">
        <w:t xml:space="preserve">, Jasper Newton Electric Co-op </w:t>
      </w:r>
      <w:proofErr w:type="spellStart"/>
      <w:r w:rsidRPr="007A58E1">
        <w:t>Inc</w:t>
      </w:r>
      <w:proofErr w:type="spellEnd"/>
      <w:r w:rsidRPr="007A58E1">
        <w:t xml:space="preserve">, Karnes Electric Co-op </w:t>
      </w:r>
      <w:proofErr w:type="spellStart"/>
      <w:r w:rsidRPr="007A58E1">
        <w:t>Inc</w:t>
      </w:r>
      <w:proofErr w:type="spellEnd"/>
      <w:r w:rsidRPr="007A58E1">
        <w:t xml:space="preserve">, Kerrville Public Utility Board, Lamar County Electric Co-op dba LEC, Lamar County Electric Co-op dba LEC RC HOUPL, Lighthouse Electric Co-op, </w:t>
      </w:r>
      <w:proofErr w:type="spellStart"/>
      <w:r w:rsidRPr="007A58E1">
        <w:t>Lyntegar</w:t>
      </w:r>
      <w:proofErr w:type="spellEnd"/>
      <w:r w:rsidRPr="007A58E1">
        <w:t xml:space="preserve"> Electric Co-op </w:t>
      </w:r>
      <w:proofErr w:type="spellStart"/>
      <w:r w:rsidRPr="007A58E1">
        <w:t>Inc</w:t>
      </w:r>
      <w:proofErr w:type="spellEnd"/>
      <w:r w:rsidRPr="007A58E1">
        <w:t xml:space="preserve">, Magic Valley Electric Co-op </w:t>
      </w:r>
      <w:proofErr w:type="spellStart"/>
      <w:r w:rsidRPr="007A58E1">
        <w:t>Inc</w:t>
      </w:r>
      <w:proofErr w:type="spellEnd"/>
      <w:r w:rsidRPr="007A58E1">
        <w:t xml:space="preserve">, Medina Electric Co-op </w:t>
      </w:r>
      <w:proofErr w:type="spellStart"/>
      <w:r w:rsidRPr="007A58E1">
        <w:t>Inc</w:t>
      </w:r>
      <w:proofErr w:type="spellEnd"/>
      <w:r w:rsidRPr="007A58E1">
        <w:t xml:space="preserve">, </w:t>
      </w:r>
      <w:proofErr w:type="spellStart"/>
      <w:r w:rsidRPr="007A58E1">
        <w:t>Mid South</w:t>
      </w:r>
      <w:proofErr w:type="spellEnd"/>
      <w:r w:rsidRPr="007A58E1">
        <w:t xml:space="preserve"> Electric Co-op </w:t>
      </w:r>
      <w:proofErr w:type="spellStart"/>
      <w:r w:rsidRPr="007A58E1">
        <w:t>Assoc</w:t>
      </w:r>
      <w:proofErr w:type="spellEnd"/>
      <w:r w:rsidRPr="007A58E1">
        <w:t xml:space="preserve">, Navarro County Electric Co-op </w:t>
      </w:r>
      <w:proofErr w:type="spellStart"/>
      <w:r w:rsidRPr="007A58E1">
        <w:t>Inc</w:t>
      </w:r>
      <w:proofErr w:type="spellEnd"/>
      <w:r w:rsidRPr="007A58E1">
        <w:t xml:space="preserve">, Navasota Valley Electric Co-op </w:t>
      </w:r>
      <w:proofErr w:type="spellStart"/>
      <w:r w:rsidRPr="007A58E1">
        <w:t>Inc</w:t>
      </w:r>
      <w:proofErr w:type="spellEnd"/>
      <w:r w:rsidRPr="007A58E1">
        <w:t xml:space="preserve">, New Braunfels Utilities, Nueces Electric Co-op </w:t>
      </w:r>
      <w:proofErr w:type="spellStart"/>
      <w:r w:rsidRPr="007A58E1">
        <w:t>Inc</w:t>
      </w:r>
      <w:proofErr w:type="spellEnd"/>
      <w:r w:rsidRPr="007A58E1">
        <w:t xml:space="preserve">, Oncor Electric Delivery Company LLC, </w:t>
      </w:r>
      <w:proofErr w:type="spellStart"/>
      <w:r w:rsidRPr="007A58E1">
        <w:t>Pedeernales</w:t>
      </w:r>
      <w:proofErr w:type="spellEnd"/>
      <w:r w:rsidRPr="007A58E1">
        <w:t xml:space="preserve"> Electric Co-op </w:t>
      </w:r>
      <w:proofErr w:type="spellStart"/>
      <w:r w:rsidRPr="007A58E1">
        <w:t>Inc</w:t>
      </w:r>
      <w:proofErr w:type="spellEnd"/>
      <w:r w:rsidRPr="007A58E1">
        <w:t xml:space="preserve">, Rio Grande Electric Co-op </w:t>
      </w:r>
      <w:proofErr w:type="spellStart"/>
      <w:r w:rsidRPr="007A58E1">
        <w:t>Inc</w:t>
      </w:r>
      <w:proofErr w:type="spellEnd"/>
      <w:r w:rsidRPr="007A58E1">
        <w:t xml:space="preserve">, Rusk County Electric Co-op </w:t>
      </w:r>
      <w:proofErr w:type="spellStart"/>
      <w:r w:rsidRPr="007A58E1">
        <w:t>Inc</w:t>
      </w:r>
      <w:proofErr w:type="spellEnd"/>
      <w:r w:rsidRPr="007A58E1">
        <w:t xml:space="preserve">, Sam Houston Electric Co-op </w:t>
      </w:r>
      <w:proofErr w:type="spellStart"/>
      <w:r w:rsidRPr="007A58E1">
        <w:t>Inc</w:t>
      </w:r>
      <w:proofErr w:type="spellEnd"/>
      <w:r w:rsidRPr="007A58E1">
        <w:t xml:space="preserve">, San Bernard Electric Co-op, San Patricio Electric Co-op, South Plains Electric Co-op </w:t>
      </w:r>
      <w:proofErr w:type="spellStart"/>
      <w:r w:rsidRPr="007A58E1">
        <w:t>Inc</w:t>
      </w:r>
      <w:proofErr w:type="spellEnd"/>
      <w:r w:rsidRPr="007A58E1">
        <w:t xml:space="preserve">, South Texas Electric Co-op </w:t>
      </w:r>
      <w:proofErr w:type="spellStart"/>
      <w:r w:rsidRPr="007A58E1">
        <w:t>Inc</w:t>
      </w:r>
      <w:proofErr w:type="spellEnd"/>
      <w:r w:rsidRPr="007A58E1">
        <w:t xml:space="preserve">, Southwest Texas Electric Co-op </w:t>
      </w:r>
      <w:proofErr w:type="spellStart"/>
      <w:r w:rsidRPr="007A58E1">
        <w:t>Inc</w:t>
      </w:r>
      <w:proofErr w:type="spellEnd"/>
      <w:r w:rsidRPr="007A58E1">
        <w:t xml:space="preserve">, Taylor Electric Co-op </w:t>
      </w:r>
      <w:proofErr w:type="spellStart"/>
      <w:r w:rsidRPr="007A58E1">
        <w:t>Inc</w:t>
      </w:r>
      <w:proofErr w:type="spellEnd"/>
      <w:r w:rsidRPr="007A58E1">
        <w:t xml:space="preserve"> Abilene, Texas-New Mexico Power Company, Tri-County Electric Co-op </w:t>
      </w:r>
      <w:proofErr w:type="spellStart"/>
      <w:r w:rsidRPr="007A58E1">
        <w:t>Inc</w:t>
      </w:r>
      <w:proofErr w:type="spellEnd"/>
      <w:r w:rsidRPr="007A58E1">
        <w:t xml:space="preserve">, Trinity Valley Electric Co-op, Trinity Valley Electric Co-op </w:t>
      </w:r>
      <w:proofErr w:type="spellStart"/>
      <w:r w:rsidRPr="007A58E1">
        <w:t>Incl</w:t>
      </w:r>
      <w:proofErr w:type="spellEnd"/>
      <w:r w:rsidRPr="007A58E1">
        <w:t xml:space="preserve"> LPL, United Electric Coop Services </w:t>
      </w:r>
      <w:proofErr w:type="spellStart"/>
      <w:r w:rsidRPr="007A58E1">
        <w:t>Inc</w:t>
      </w:r>
      <w:proofErr w:type="spellEnd"/>
      <w:r w:rsidRPr="007A58E1">
        <w:t xml:space="preserve">, Victoria Electric Co-op </w:t>
      </w:r>
      <w:proofErr w:type="spellStart"/>
      <w:r w:rsidRPr="007A58E1">
        <w:t>Inc</w:t>
      </w:r>
      <w:proofErr w:type="spellEnd"/>
      <w:r w:rsidRPr="007A58E1">
        <w:t xml:space="preserve">, Weatherford Municipal Utility System, Western Farmers Electric Co-op, Wharton County Electric Co-op </w:t>
      </w:r>
      <w:proofErr w:type="spellStart"/>
      <w:r w:rsidRPr="007A58E1">
        <w:t>Inc</w:t>
      </w:r>
      <w:proofErr w:type="spellEnd"/>
      <w:r w:rsidRPr="007A58E1">
        <w:t>, Wise Electric Co-op, Wood County Electric Co-op Inc.</w:t>
      </w:r>
    </w:p>
  </w:footnote>
  <w:footnote w:id="19">
    <w:p w:rsidR="00AD1390" w:rsidRDefault="00AD1390" w:rsidP="007D7D99">
      <w:pPr>
        <w:pStyle w:val="FootnoteText"/>
        <w:ind w:firstLine="720"/>
        <w:jc w:val="both"/>
      </w:pPr>
      <w:r>
        <w:rPr>
          <w:rStyle w:val="FootnoteReference"/>
        </w:rPr>
        <w:footnoteRef/>
      </w:r>
      <w:r>
        <w:t xml:space="preserve"> 16 TAC § 25.192(b)(1):  … The monthly transmission service charge to be paid by each DSP is the product of each TSP’s monthly rate as specified in its tariff and the DSP’s previous year’s average of the 4CP demand that is coincident with the ERCOT 4CP.</w:t>
      </w:r>
    </w:p>
  </w:footnote>
  <w:footnote w:id="20">
    <w:p w:rsidR="00AD1390" w:rsidRPr="00FA2987" w:rsidRDefault="00AD1390" w:rsidP="007D7D99">
      <w:pPr>
        <w:pStyle w:val="FootnoteText"/>
        <w:ind w:firstLine="720"/>
        <w:jc w:val="both"/>
      </w:pPr>
      <w:r w:rsidRPr="00FA2987">
        <w:rPr>
          <w:rStyle w:val="FootnoteReference"/>
        </w:rPr>
        <w:footnoteRef/>
      </w:r>
      <w:r w:rsidRPr="00FA2987">
        <w:t xml:space="preserve"> The “C” in “CP” refers to coincidence, but ERCOT’s peak </w:t>
      </w:r>
      <w:r>
        <w:t>demands</w:t>
      </w:r>
      <w:r w:rsidRPr="00FA2987">
        <w:t xml:space="preserve"> are not measured as c</w:t>
      </w:r>
      <w:r>
        <w:t>oincident with any other system.</w:t>
      </w:r>
    </w:p>
  </w:footnote>
  <w:footnote w:id="21">
    <w:p w:rsidR="00AD1390" w:rsidRDefault="00AD1390" w:rsidP="007D7D99">
      <w:pPr>
        <w:pStyle w:val="FootnoteText"/>
        <w:ind w:firstLine="720"/>
        <w:jc w:val="both"/>
      </w:pPr>
      <w:r>
        <w:rPr>
          <w:rStyle w:val="FootnoteReference"/>
        </w:rPr>
        <w:footnoteRef/>
      </w:r>
      <w:r>
        <w:t xml:space="preserve"> 16 TAC § 25.5(33):  </w:t>
      </w:r>
      <w:r w:rsidRPr="00443741">
        <w:rPr>
          <w:b/>
        </w:rPr>
        <w:t>Distribution service provider (DSP)</w:t>
      </w:r>
      <w:r>
        <w:t xml:space="preserve"> -- An electric utility, municipally-owned utility, or electric cooperative that owns or operates for compensation in this state equipment or facilities that are used for the distribution of electricity to retail customers, as defined in this section, including retail customers served at transmission voltage levels.</w:t>
      </w:r>
    </w:p>
  </w:footnote>
  <w:footnote w:id="22">
    <w:p w:rsidR="00AD1390" w:rsidRPr="00C044CF" w:rsidRDefault="00AD1390" w:rsidP="007D7D99">
      <w:pPr>
        <w:pStyle w:val="FootnoteText"/>
        <w:ind w:firstLine="720"/>
        <w:jc w:val="both"/>
      </w:pPr>
      <w:r w:rsidRPr="00C044CF">
        <w:rPr>
          <w:rStyle w:val="FootnoteReference"/>
        </w:rPr>
        <w:footnoteRef/>
      </w:r>
      <w:r w:rsidRPr="00C044CF">
        <w:t xml:space="preserve"> </w:t>
      </w:r>
      <w:r w:rsidRPr="0025047F">
        <w:rPr>
          <w:i/>
        </w:rPr>
        <w:t>Commission Staff’s Petition to Set 2019 Wholesale Transmission Service Charges for the Electric Reliability Council of Texas</w:t>
      </w:r>
      <w:r w:rsidRPr="0025047F">
        <w:t>, Docket No. 48928</w:t>
      </w:r>
      <w:r>
        <w:t xml:space="preserve">, </w:t>
      </w:r>
      <w:r w:rsidRPr="00C044CF">
        <w:rPr>
          <w:color w:val="333333"/>
          <w:sz w:val="21"/>
          <w:szCs w:val="21"/>
          <w:shd w:val="clear" w:color="auto" w:fill="FFFFFF"/>
        </w:rPr>
        <w:t>Commission Staff`s Final Transmission Charge Matrix</w:t>
      </w:r>
      <w:r w:rsidRPr="00C044CF">
        <w:t xml:space="preserve"> at worksheet 2018 4CP calculation (</w:t>
      </w:r>
      <w:r>
        <w:t>Feb 14, 2019</w:t>
      </w:r>
      <w:r w:rsidRPr="00C044CF">
        <w:t>).</w:t>
      </w:r>
    </w:p>
  </w:footnote>
  <w:footnote w:id="23">
    <w:p w:rsidR="00AD1390" w:rsidRDefault="00AD1390" w:rsidP="007D7D99">
      <w:pPr>
        <w:pStyle w:val="FootnoteText"/>
        <w:ind w:firstLine="720"/>
        <w:jc w:val="both"/>
      </w:pPr>
      <w:r>
        <w:rPr>
          <w:rStyle w:val="FootnoteReference"/>
        </w:rPr>
        <w:footnoteRef/>
      </w:r>
      <w:r>
        <w:t xml:space="preserve"> </w:t>
      </w:r>
      <w:r w:rsidRPr="00595EAB">
        <w:rPr>
          <w:i/>
        </w:rPr>
        <w:t>See</w:t>
      </w:r>
      <w:r>
        <w:t xml:space="preserve"> electronic copy of the RFP, </w:t>
      </w:r>
      <w:proofErr w:type="spellStart"/>
      <w:r>
        <w:t>workpaper</w:t>
      </w:r>
      <w:proofErr w:type="spellEnd"/>
      <w:r>
        <w:t xml:space="preserve"> “Schedule H-I-J and CA.XLS,” worksheet “II-A TCOS Calculation,” at Microsoft Excel row 25.  This amount includes recovery of a share of CEHE’s requested TCOS, not the Company’s TCOS reflecting Staff’s adjustments.</w:t>
      </w:r>
    </w:p>
  </w:footnote>
  <w:footnote w:id="24">
    <w:p w:rsidR="00AD1390" w:rsidRDefault="00AD1390" w:rsidP="007D7D99">
      <w:pPr>
        <w:pStyle w:val="FootnoteText"/>
        <w:ind w:firstLine="720"/>
        <w:jc w:val="both"/>
      </w:pPr>
      <w:r>
        <w:rPr>
          <w:rStyle w:val="FootnoteReference"/>
        </w:rPr>
        <w:footnoteRef/>
      </w:r>
      <w:r>
        <w:t xml:space="preserve"> Net of wholesale transmission revenues credited to transmission expenses.  Total ERCOT transmission payments ($942.4 million) minus requested wholesale revenues ($395.8 million) = net ERCOT transmission payments included in functional separation of costs ($546.6 million).</w:t>
      </w:r>
    </w:p>
  </w:footnote>
  <w:footnote w:id="25">
    <w:p w:rsidR="00AD1390" w:rsidRPr="00CF6A7C" w:rsidRDefault="00AD1390" w:rsidP="007D7D99">
      <w:pPr>
        <w:pStyle w:val="FootnoteText"/>
        <w:ind w:firstLine="720"/>
        <w:jc w:val="both"/>
      </w:pPr>
      <w:r w:rsidRPr="00CF6A7C">
        <w:rPr>
          <w:rStyle w:val="FootnoteReference"/>
        </w:rPr>
        <w:footnoteRef/>
      </w:r>
      <w:r w:rsidRPr="00CF6A7C">
        <w:t xml:space="preserve"> </w:t>
      </w:r>
      <w:r w:rsidRPr="00CF6A7C">
        <w:rPr>
          <w:i/>
        </w:rPr>
        <w:t>See</w:t>
      </w:r>
      <w:r w:rsidRPr="00CF6A7C">
        <w:t xml:space="preserve">, e.g., Direct Testimony of Matthew </w:t>
      </w:r>
      <w:proofErr w:type="spellStart"/>
      <w:r w:rsidRPr="00CF6A7C">
        <w:t>Troxle</w:t>
      </w:r>
      <w:proofErr w:type="spellEnd"/>
      <w:r w:rsidRPr="00CF6A7C">
        <w:t xml:space="preserve">, Exhibit MAT-9 at 83.  CenterPoint’s requested transmission system charge under </w:t>
      </w:r>
      <w:r>
        <w:t xml:space="preserve">the proposed </w:t>
      </w:r>
      <w:r w:rsidRPr="00CF6A7C">
        <w:t>residential rate schedule is $.015080 per kWh.</w:t>
      </w:r>
    </w:p>
  </w:footnote>
  <w:footnote w:id="26">
    <w:p w:rsidR="00AD1390" w:rsidRPr="00902F9B" w:rsidRDefault="00AD1390" w:rsidP="007D7D99">
      <w:pPr>
        <w:pStyle w:val="FootnoteText"/>
        <w:ind w:firstLine="720"/>
        <w:jc w:val="both"/>
      </w:pPr>
      <w:r w:rsidRPr="00902F9B">
        <w:rPr>
          <w:rStyle w:val="FootnoteReference"/>
        </w:rPr>
        <w:footnoteRef/>
      </w:r>
      <w:r w:rsidRPr="00902F9B">
        <w:t xml:space="preserve"> The distribution function includes the costs of distribution substations, poles towers and fixtures, overhead and underground feeder lines at primary and secondary voltage levels, conduit, line transformers, and service drops; and, it also includes the expenses incurred to operate and maintain distribution plant.  </w:t>
      </w:r>
    </w:p>
  </w:footnote>
  <w:footnote w:id="27">
    <w:p w:rsidR="00AD1390" w:rsidRPr="00902F9B" w:rsidRDefault="00AD1390" w:rsidP="007D7D99">
      <w:pPr>
        <w:ind w:firstLine="720"/>
        <w:jc w:val="both"/>
      </w:pPr>
      <w:r w:rsidRPr="00902F9B">
        <w:rPr>
          <w:rStyle w:val="FootnoteReference"/>
        </w:rPr>
        <w:footnoteRef/>
      </w:r>
      <w:r w:rsidRPr="00902F9B">
        <w:t xml:space="preserve"> The metering function includes the costs of meters</w:t>
      </w:r>
      <w:r>
        <w:t xml:space="preserve">, meter reading, and associated </w:t>
      </w:r>
      <w:r w:rsidRPr="00902F9B">
        <w:t xml:space="preserve">operations and maintenance expenses.  </w:t>
      </w:r>
    </w:p>
  </w:footnote>
  <w:footnote w:id="28">
    <w:p w:rsidR="00AD1390" w:rsidRDefault="00AD1390" w:rsidP="007D7D99">
      <w:pPr>
        <w:ind w:firstLine="720"/>
        <w:jc w:val="both"/>
      </w:pPr>
      <w:r w:rsidRPr="005B7AB3">
        <w:rPr>
          <w:rStyle w:val="FootnoteReference"/>
        </w:rPr>
        <w:footnoteRef/>
      </w:r>
      <w:r w:rsidRPr="005B7AB3">
        <w:t xml:space="preserve"> The customer service function includes intangible plant costs (e.g., software systems), and customer-related expenses such as billing, record-kee</w:t>
      </w:r>
      <w:r>
        <w:t>ping, and customer assistance.</w:t>
      </w:r>
    </w:p>
  </w:footnote>
  <w:footnote w:id="29">
    <w:p w:rsidR="00AD1390" w:rsidRPr="00FC7E46" w:rsidRDefault="00AD1390" w:rsidP="007D7D99">
      <w:pPr>
        <w:pStyle w:val="FootnoteText"/>
        <w:ind w:firstLine="720"/>
        <w:jc w:val="both"/>
      </w:pPr>
      <w:r w:rsidRPr="00FC7E46">
        <w:rPr>
          <w:rStyle w:val="FootnoteReference"/>
        </w:rPr>
        <w:footnoteRef/>
      </w:r>
      <w:r w:rsidRPr="00FC7E46">
        <w:t xml:space="preserve"> Filing Package, Project No. 39548, at 9 (Nov 19, 2015).</w:t>
      </w:r>
    </w:p>
  </w:footnote>
  <w:footnote w:id="30">
    <w:p w:rsidR="00AD1390" w:rsidRPr="00AE2CC2" w:rsidRDefault="00AD1390" w:rsidP="007D7D99">
      <w:pPr>
        <w:pStyle w:val="FootnoteText"/>
        <w:ind w:firstLine="720"/>
        <w:jc w:val="both"/>
      </w:pPr>
      <w:r w:rsidRPr="00FC7E46">
        <w:rPr>
          <w:rStyle w:val="FootnoteReference"/>
        </w:rPr>
        <w:footnoteRef/>
      </w:r>
      <w:r w:rsidRPr="00FC7E46">
        <w:t xml:space="preserve"> </w:t>
      </w:r>
      <w:r w:rsidRPr="00FC7E46">
        <w:rPr>
          <w:i/>
        </w:rPr>
        <w:t>Texas Utilities Electric Company Filing in Compliance with Subst. R. 23.67</w:t>
      </w:r>
      <w:r w:rsidRPr="00FC7E46">
        <w:t xml:space="preserve">, Docket </w:t>
      </w:r>
      <w:r>
        <w:t>No. 15638, Order at 2 (Oct 20, 1997):  “</w:t>
      </w:r>
      <w:r w:rsidRPr="007F7F93">
        <w:rPr>
          <w:b/>
        </w:rPr>
        <w:t>Functionalization of general and administrative expenses.</w:t>
      </w:r>
      <w:r>
        <w:t xml:space="preserve"> … </w:t>
      </w:r>
      <w:r w:rsidRPr="007F7F93">
        <w:t>The Commission prefers that costs be directly assigned, even for expenses that are difficult to assign directly but concludes that TU Electric has not met its burden of establishing that the general and administrative expenses it proposed in this case are reasonable.</w:t>
      </w:r>
      <w:r>
        <w:t xml:space="preserve">  </w:t>
      </w:r>
      <w:r w:rsidRPr="00176D27">
        <w:rPr>
          <w:b/>
        </w:rPr>
        <w:t>Functionalization of general plant</w:t>
      </w:r>
      <w:r>
        <w:t>. ...</w:t>
      </w:r>
      <w:r w:rsidRPr="00176D27">
        <w:t>.</w:t>
      </w:r>
      <w:r>
        <w:t xml:space="preserve"> </w:t>
      </w:r>
      <w:r w:rsidRPr="00176D27">
        <w:t>The Commission prefers that costs be directly assigned, even for plant costs that are difficult to assign directly but concludes that TU Electric has not met its burden of establishing that the general plant costs it proposed in this case are reasonable.</w:t>
      </w:r>
      <w:r>
        <w:t>”</w:t>
      </w:r>
    </w:p>
  </w:footnote>
  <w:footnote w:id="31">
    <w:p w:rsidR="00AD1390" w:rsidRDefault="00AD1390" w:rsidP="007D7D99">
      <w:pPr>
        <w:pStyle w:val="FootnoteText"/>
        <w:ind w:firstLine="720"/>
        <w:jc w:val="both"/>
      </w:pPr>
      <w:r>
        <w:rPr>
          <w:rStyle w:val="FootnoteReference"/>
        </w:rPr>
        <w:footnoteRef/>
      </w:r>
      <w:r>
        <w:t xml:space="preserve"> 16 TAC § 25.234(a):  “</w:t>
      </w:r>
      <w:r w:rsidRPr="009156FA">
        <w:rPr>
          <w:b/>
        </w:rPr>
        <w:t>Rates</w:t>
      </w:r>
      <w:r>
        <w:t xml:space="preserve"> shall not be unreasonably preferential, prejudicial, or discriminatory, but shall be sufficient, equitable, and consistent in application to each class of customers, and </w:t>
      </w:r>
      <w:r w:rsidRPr="009156FA">
        <w:rPr>
          <w:b/>
        </w:rPr>
        <w:t>shall be based on cost.</w:t>
      </w:r>
      <w:r>
        <w:rPr>
          <w:b/>
        </w:rPr>
        <w:t xml:space="preserve">”  </w:t>
      </w:r>
      <w:r w:rsidRPr="009156FA">
        <w:t>(emphasis added)</w:t>
      </w:r>
    </w:p>
  </w:footnote>
  <w:footnote w:id="32">
    <w:p w:rsidR="00AD1390" w:rsidRDefault="00AD1390" w:rsidP="007D7D99">
      <w:pPr>
        <w:pStyle w:val="FootnoteText"/>
        <w:ind w:firstLine="720"/>
        <w:jc w:val="both"/>
      </w:pPr>
      <w:r>
        <w:rPr>
          <w:rStyle w:val="FootnoteReference"/>
        </w:rPr>
        <w:footnoteRef/>
      </w:r>
      <w:r>
        <w:t xml:space="preserve"> As a DSP, CenterPoint must pay approximately 25% of the costs of the transmission grid, which means 25% of each TSP’s TCOS, including its own TCOS (in its role as a TSP).</w:t>
      </w:r>
    </w:p>
  </w:footnote>
  <w:footnote w:id="33">
    <w:p w:rsidR="00AD1390" w:rsidRDefault="00AD1390" w:rsidP="001C738A">
      <w:pPr>
        <w:pStyle w:val="FootnoteText"/>
        <w:ind w:firstLine="720"/>
        <w:jc w:val="both"/>
      </w:pPr>
      <w:r>
        <w:rPr>
          <w:rStyle w:val="FootnoteReference"/>
        </w:rPr>
        <w:footnoteRef/>
      </w:r>
      <w:r>
        <w:t xml:space="preserve"> Open Meeting Transcript at 26 (Oct 26, 2017).</w:t>
      </w:r>
    </w:p>
  </w:footnote>
  <w:footnote w:id="34">
    <w:p w:rsidR="00AD1390" w:rsidRDefault="00AD1390" w:rsidP="001C738A">
      <w:pPr>
        <w:pStyle w:val="FootnoteText"/>
        <w:ind w:firstLine="720"/>
        <w:jc w:val="both"/>
      </w:pPr>
      <w:r>
        <w:rPr>
          <w:rStyle w:val="FootnoteReference"/>
        </w:rPr>
        <w:footnoteRef/>
      </w:r>
      <w:r>
        <w:t xml:space="preserve"> Open Meeting of January 25, 2018, Memorandum from Chairman DeAnn T. Walker to Commissioners Brandy Marty Marquez and Arthur C. </w:t>
      </w:r>
      <w:proofErr w:type="spellStart"/>
      <w:r>
        <w:t>D’Andrea</w:t>
      </w:r>
      <w:proofErr w:type="spellEnd"/>
      <w:r>
        <w:t xml:space="preserve"> at 2.</w:t>
      </w:r>
    </w:p>
  </w:footnote>
  <w:footnote w:id="35">
    <w:p w:rsidR="00AD1390" w:rsidRPr="00427616" w:rsidRDefault="00AD1390" w:rsidP="001C738A">
      <w:pPr>
        <w:pStyle w:val="FootnoteText"/>
        <w:ind w:firstLine="720"/>
        <w:jc w:val="both"/>
      </w:pPr>
      <w:r w:rsidRPr="00427616">
        <w:rPr>
          <w:rStyle w:val="FootnoteReference"/>
        </w:rPr>
        <w:footnoteRef/>
      </w:r>
      <w:r w:rsidRPr="00427616">
        <w:t xml:space="preserve"> </w:t>
      </w:r>
      <w:r w:rsidRPr="004D75AD">
        <w:rPr>
          <w:i/>
        </w:rPr>
        <w:t>Project to Revise Rate Filing Package for Investor Owned Transmission and Distribution Utilities</w:t>
      </w:r>
      <w:r>
        <w:t>, P</w:t>
      </w:r>
      <w:r w:rsidRPr="00427616">
        <w:t>roject No. 39548</w:t>
      </w:r>
      <w:r>
        <w:t>, Order of Adoption at 32 (Nov. 19, 2015).</w:t>
      </w:r>
    </w:p>
  </w:footnote>
  <w:footnote w:id="36">
    <w:p w:rsidR="00AD1390" w:rsidRDefault="00AD1390" w:rsidP="007D7D99">
      <w:pPr>
        <w:pStyle w:val="FootnoteText"/>
        <w:ind w:firstLine="720"/>
        <w:jc w:val="both"/>
      </w:pPr>
      <w:r>
        <w:rPr>
          <w:rStyle w:val="FootnoteReference"/>
        </w:rPr>
        <w:footnoteRef/>
      </w:r>
      <w:r>
        <w:t xml:space="preserve"> </w:t>
      </w:r>
      <w:r w:rsidRPr="00214DE8">
        <w:rPr>
          <w:i/>
        </w:rPr>
        <w:t>Id.,</w:t>
      </w:r>
      <w:r>
        <w:t xml:space="preserve"> Filing Package at 9.</w:t>
      </w:r>
    </w:p>
  </w:footnote>
  <w:footnote w:id="37">
    <w:p w:rsidR="00AD1390" w:rsidRDefault="00AD1390" w:rsidP="007D7D99">
      <w:pPr>
        <w:pStyle w:val="FootnoteText"/>
        <w:ind w:firstLine="720"/>
        <w:jc w:val="both"/>
      </w:pPr>
      <w:r>
        <w:rPr>
          <w:rStyle w:val="FootnoteReference"/>
        </w:rPr>
        <w:footnoteRef/>
      </w:r>
      <w:r>
        <w:t xml:space="preserve"> Open Meeting Transcript at p. 120-121 (June 29, 2000).</w:t>
      </w:r>
    </w:p>
  </w:footnote>
  <w:footnote w:id="38">
    <w:p w:rsidR="00AD1390" w:rsidRPr="000B48CA" w:rsidRDefault="00AD1390" w:rsidP="007D7D99">
      <w:pPr>
        <w:pStyle w:val="FootnoteText"/>
        <w:ind w:firstLine="720"/>
        <w:jc w:val="both"/>
      </w:pPr>
      <w:r w:rsidRPr="000B48CA">
        <w:rPr>
          <w:rStyle w:val="FootnoteReference"/>
        </w:rPr>
        <w:footnoteRef/>
      </w:r>
      <w:r w:rsidRPr="000B48CA">
        <w:t xml:space="preserve"> Generation, transmission, distribution, and retail services.</w:t>
      </w:r>
    </w:p>
  </w:footnote>
  <w:footnote w:id="39">
    <w:p w:rsidR="00AD1390" w:rsidRDefault="00AD1390" w:rsidP="007D7D99">
      <w:pPr>
        <w:pStyle w:val="FootnoteText"/>
        <w:ind w:firstLine="720"/>
        <w:jc w:val="both"/>
      </w:pPr>
      <w:r>
        <w:rPr>
          <w:rStyle w:val="FootnoteReference"/>
        </w:rPr>
        <w:footnoteRef/>
      </w:r>
      <w:r>
        <w:t xml:space="preserve"> Note that none of the over one hundred DSPs that will be subject to CEHE’s wholesale transmission rate have intervened and filed testimony in this case.</w:t>
      </w:r>
    </w:p>
  </w:footnote>
  <w:footnote w:id="40">
    <w:p w:rsidR="00AD1390" w:rsidRDefault="00AD1390" w:rsidP="007D7D99">
      <w:pPr>
        <w:pStyle w:val="FootnoteText"/>
        <w:ind w:firstLine="720"/>
        <w:jc w:val="both"/>
      </w:pPr>
      <w:r>
        <w:rPr>
          <w:rStyle w:val="FootnoteReference"/>
        </w:rPr>
        <w:footnoteRef/>
      </w:r>
      <w:r>
        <w:t xml:space="preserve"> 16 TAC § 25.234(a).</w:t>
      </w:r>
    </w:p>
  </w:footnote>
  <w:footnote w:id="41">
    <w:p w:rsidR="00AD1390" w:rsidRDefault="00AD1390" w:rsidP="007D7D99">
      <w:pPr>
        <w:pStyle w:val="FootnoteText"/>
        <w:ind w:firstLine="720"/>
        <w:jc w:val="both"/>
      </w:pPr>
      <w:r>
        <w:rPr>
          <w:rStyle w:val="FootnoteReference"/>
        </w:rPr>
        <w:footnoteRef/>
      </w:r>
      <w:r>
        <w:t xml:space="preserve"> </w:t>
      </w:r>
      <w:r w:rsidRPr="00924757">
        <w:rPr>
          <w:i/>
        </w:rPr>
        <w:t>See</w:t>
      </w:r>
      <w:r>
        <w:t xml:space="preserve"> Section XIV - Rate Riders.</w:t>
      </w:r>
    </w:p>
  </w:footnote>
  <w:footnote w:id="42">
    <w:p w:rsidR="00AD1390" w:rsidRDefault="00AD1390" w:rsidP="007D7D99">
      <w:pPr>
        <w:ind w:firstLine="720"/>
        <w:jc w:val="both"/>
      </w:pPr>
      <w:r w:rsidRPr="00AC6E31">
        <w:rPr>
          <w:rStyle w:val="FootnoteReference"/>
        </w:rPr>
        <w:footnoteRef/>
      </w:r>
      <w:r w:rsidRPr="00AC6E31">
        <w:t xml:space="preserve"> As explained above in </w:t>
      </w:r>
      <w:r>
        <w:t>the OVERVIEW section of my testimony</w:t>
      </w:r>
      <w:r w:rsidRPr="00AC6E31">
        <w:t>, CenterPoint’s wholesale transmission access rate will be set as its wholesale transmission revenue requirement divided by ERCOT billing units.  Retail delivery rates will be set based on the share of the retail delivery requirement assigned to each rate class, under the system of charges designed for that class in the rate design phase.</w:t>
      </w:r>
    </w:p>
  </w:footnote>
  <w:footnote w:id="43">
    <w:p w:rsidR="00AD1390" w:rsidRDefault="00AD1390" w:rsidP="007D7D99">
      <w:pPr>
        <w:pStyle w:val="FootnoteText"/>
        <w:ind w:firstLine="720"/>
        <w:jc w:val="both"/>
      </w:pPr>
      <w:r>
        <w:rPr>
          <w:rStyle w:val="FootnoteReference"/>
        </w:rPr>
        <w:footnoteRef/>
      </w:r>
      <w:r>
        <w:t xml:space="preserve"> The Company will also collect some transmission export revenues for services provided to customers outside ERCOT.</w:t>
      </w:r>
    </w:p>
  </w:footnote>
  <w:footnote w:id="44">
    <w:p w:rsidR="00AD1390" w:rsidRDefault="00AD1390" w:rsidP="007D7D99">
      <w:pPr>
        <w:pStyle w:val="FootnoteText"/>
        <w:ind w:firstLine="720"/>
        <w:jc w:val="both"/>
      </w:pPr>
      <w:r>
        <w:rPr>
          <w:rStyle w:val="FootnoteReference"/>
        </w:rPr>
        <w:footnoteRef/>
      </w:r>
      <w:r>
        <w:t xml:space="preserve"> Application at 12, table “Summary of Revenues by Rate Class,” column (b), “proposed revenues.”</w:t>
      </w:r>
    </w:p>
  </w:footnote>
  <w:footnote w:id="45">
    <w:p w:rsidR="00AD1390" w:rsidRDefault="00AD1390" w:rsidP="007D7D99">
      <w:pPr>
        <w:pStyle w:val="FootnoteText"/>
        <w:ind w:firstLine="720"/>
        <w:jc w:val="both"/>
      </w:pPr>
      <w:r>
        <w:rPr>
          <w:rStyle w:val="FootnoteReference"/>
        </w:rPr>
        <w:footnoteRef/>
      </w:r>
      <w:r>
        <w:t xml:space="preserve"> Net of costs recovered outside base rates.</w:t>
      </w:r>
    </w:p>
  </w:footnote>
  <w:footnote w:id="46">
    <w:p w:rsidR="00AD1390" w:rsidRPr="00457187" w:rsidRDefault="00AD1390" w:rsidP="007D7D99">
      <w:pPr>
        <w:pStyle w:val="FootnoteText"/>
        <w:ind w:firstLine="720"/>
        <w:jc w:val="both"/>
      </w:pPr>
      <w:r w:rsidRPr="00457187">
        <w:rPr>
          <w:rStyle w:val="FootnoteReference"/>
        </w:rPr>
        <w:footnoteRef/>
      </w:r>
      <w:r w:rsidRPr="00457187">
        <w:t xml:space="preserve"> </w:t>
      </w:r>
      <w:r>
        <w:t>Which is e</w:t>
      </w:r>
      <w:r w:rsidRPr="00457187">
        <w:t>qual to the total transmission functional revenue requirem</w:t>
      </w:r>
      <w:r>
        <w:t>ent shown in Schedule II-I TRAN, as presented by CenterPoint.</w:t>
      </w:r>
    </w:p>
  </w:footnote>
  <w:footnote w:id="47">
    <w:p w:rsidR="00AD1390" w:rsidRDefault="00AD1390" w:rsidP="007D7D99">
      <w:pPr>
        <w:pStyle w:val="FootnoteText"/>
        <w:ind w:firstLine="720"/>
        <w:jc w:val="both"/>
      </w:pPr>
      <w:r>
        <w:rPr>
          <w:rStyle w:val="FootnoteReference"/>
        </w:rPr>
        <w:footnoteRef/>
      </w:r>
      <w:r>
        <w:t xml:space="preserve"> CEHE’s Response to Staff Seventh Set of Requests for Information at Response No. PUC07-12a.</w:t>
      </w:r>
    </w:p>
  </w:footnote>
  <w:footnote w:id="48">
    <w:p w:rsidR="00AD1390" w:rsidRDefault="00AD1390" w:rsidP="007D7D99">
      <w:pPr>
        <w:pStyle w:val="FootnoteText"/>
        <w:ind w:firstLine="720"/>
        <w:jc w:val="both"/>
      </w:pPr>
      <w:r>
        <w:rPr>
          <w:rStyle w:val="FootnoteReference"/>
        </w:rPr>
        <w:footnoteRef/>
      </w:r>
      <w:r>
        <w:t xml:space="preserve"> </w:t>
      </w:r>
      <w:r w:rsidRPr="009E26C6">
        <w:rPr>
          <w:i/>
        </w:rPr>
        <w:t>Id</w:t>
      </w:r>
      <w:r>
        <w:t>.</w:t>
      </w:r>
    </w:p>
  </w:footnote>
  <w:footnote w:id="49">
    <w:p w:rsidR="00AD1390" w:rsidRDefault="00AD1390" w:rsidP="007D7D99">
      <w:pPr>
        <w:pStyle w:val="FootnoteText"/>
        <w:ind w:firstLine="720"/>
        <w:jc w:val="both"/>
      </w:pPr>
      <w:r>
        <w:rPr>
          <w:rStyle w:val="FootnoteReference"/>
        </w:rPr>
        <w:footnoteRef/>
      </w:r>
      <w:r>
        <w:t xml:space="preserve"> </w:t>
      </w:r>
      <w:r w:rsidRPr="006D30FD">
        <w:rPr>
          <w:i/>
        </w:rPr>
        <w:t>Id</w:t>
      </w:r>
      <w:r>
        <w:t>.</w:t>
      </w:r>
    </w:p>
  </w:footnote>
  <w:footnote w:id="50">
    <w:p w:rsidR="00AD1390" w:rsidRDefault="00AD1390" w:rsidP="007D7D99">
      <w:pPr>
        <w:pStyle w:val="FootnoteText"/>
        <w:ind w:firstLine="720"/>
        <w:jc w:val="both"/>
      </w:pPr>
      <w:r>
        <w:rPr>
          <w:rStyle w:val="FootnoteReference"/>
        </w:rPr>
        <w:footnoteRef/>
      </w:r>
      <w:r>
        <w:t xml:space="preserve"> </w:t>
      </w:r>
      <w:r w:rsidRPr="006D30FD">
        <w:rPr>
          <w:i/>
        </w:rPr>
        <w:t>Id</w:t>
      </w:r>
      <w:r>
        <w:t>.</w:t>
      </w:r>
    </w:p>
  </w:footnote>
  <w:footnote w:id="51">
    <w:p w:rsidR="00AD1390" w:rsidRDefault="00AD1390" w:rsidP="007D7D99">
      <w:pPr>
        <w:pStyle w:val="FootnoteText"/>
        <w:ind w:firstLine="720"/>
        <w:jc w:val="both"/>
      </w:pPr>
      <w:r>
        <w:rPr>
          <w:rStyle w:val="FootnoteReference"/>
        </w:rPr>
        <w:footnoteRef/>
      </w:r>
      <w:r>
        <w:t xml:space="preserve"> Prior to re-allocation of Texas Margins Tax.</w:t>
      </w:r>
    </w:p>
  </w:footnote>
  <w:footnote w:id="52">
    <w:p w:rsidR="00AD1390" w:rsidRDefault="00AD1390" w:rsidP="007D7D99">
      <w:pPr>
        <w:pStyle w:val="FootnoteText"/>
        <w:ind w:firstLine="720"/>
        <w:jc w:val="both"/>
      </w:pPr>
      <w:r>
        <w:rPr>
          <w:rStyle w:val="FootnoteReference"/>
        </w:rPr>
        <w:footnoteRef/>
      </w:r>
      <w:r>
        <w:t xml:space="preserve"> Electronic </w:t>
      </w:r>
      <w:proofErr w:type="spellStart"/>
      <w:r>
        <w:t>workpapers</w:t>
      </w:r>
      <w:proofErr w:type="spellEnd"/>
      <w:r>
        <w:t xml:space="preserve"> to the Direct Testimony of Brian T. Murphy, </w:t>
      </w:r>
      <w:proofErr w:type="spellStart"/>
      <w:r>
        <w:t>workpaper</w:t>
      </w:r>
      <w:proofErr w:type="spellEnd"/>
      <w:r>
        <w:t xml:space="preserve"> “49421 - Staff’s Model of CEHE’s CCOSS.XLS,” worksheet “III A-1 Wholesale TCOS,” at Microsoft Excel cell H28.</w:t>
      </w:r>
    </w:p>
  </w:footnote>
  <w:footnote w:id="53">
    <w:p w:rsidR="00AD1390" w:rsidRDefault="00AD1390" w:rsidP="007D7D99">
      <w:pPr>
        <w:pStyle w:val="FootnoteText"/>
        <w:ind w:firstLine="720"/>
        <w:jc w:val="both"/>
      </w:pPr>
      <w:r>
        <w:rPr>
          <w:rStyle w:val="FootnoteReference"/>
        </w:rPr>
        <w:footnoteRef/>
      </w:r>
      <w:r>
        <w:t xml:space="preserve"> </w:t>
      </w:r>
      <w:r w:rsidRPr="000255C7">
        <w:rPr>
          <w:i/>
        </w:rPr>
        <w:t>Id.</w:t>
      </w:r>
      <w:r>
        <w:t>, worksheet “I-A.1 to II-F,” at Microsoft Excel cell G29, before adjustment to ERCOT transmission payments.</w:t>
      </w:r>
    </w:p>
  </w:footnote>
  <w:footnote w:id="54">
    <w:p w:rsidR="00AD1390" w:rsidRDefault="00AD1390" w:rsidP="007D7D99">
      <w:pPr>
        <w:pStyle w:val="FootnoteText"/>
        <w:ind w:firstLine="720"/>
        <w:jc w:val="both"/>
      </w:pPr>
      <w:r>
        <w:rPr>
          <w:rStyle w:val="FootnoteReference"/>
        </w:rPr>
        <w:footnoteRef/>
      </w:r>
      <w:r>
        <w:t xml:space="preserve"> With respect to A</w:t>
      </w:r>
      <w:r w:rsidRPr="005733B7">
        <w:t>ccounts 182.3 and 407.3, there is no dollar impact as Staff witness Filarowicz has recommended dis</w:t>
      </w:r>
      <w:r>
        <w:t>allowance of the full amounts.  In the event Mr. Filarowicz’ recommendation is not adopted, approved amounts in Accounts 182.3 and 407.3 should also be functionalized in proportion to base revenues.</w:t>
      </w:r>
    </w:p>
  </w:footnote>
  <w:footnote w:id="55">
    <w:p w:rsidR="00AD1390" w:rsidRDefault="00AD1390" w:rsidP="007D7D99">
      <w:pPr>
        <w:pStyle w:val="FootnoteText"/>
        <w:ind w:firstLine="720"/>
        <w:jc w:val="both"/>
      </w:pPr>
      <w:r>
        <w:rPr>
          <w:rStyle w:val="FootnoteReference"/>
        </w:rPr>
        <w:footnoteRef/>
      </w:r>
      <w:r>
        <w:t xml:space="preserve"> Application at 12 [Bates 23] (Apr 5, 2019).</w:t>
      </w:r>
    </w:p>
  </w:footnote>
  <w:footnote w:id="56">
    <w:p w:rsidR="00AD1390" w:rsidRDefault="00AD1390" w:rsidP="007D7D99">
      <w:pPr>
        <w:pStyle w:val="FootnoteText"/>
        <w:ind w:firstLine="720"/>
        <w:jc w:val="both"/>
      </w:pPr>
      <w:r w:rsidRPr="0001340A">
        <w:rPr>
          <w:rStyle w:val="FootnoteReference"/>
        </w:rPr>
        <w:footnoteRef/>
      </w:r>
      <w:r w:rsidRPr="0001340A">
        <w:t xml:space="preserve"> Electronic </w:t>
      </w:r>
      <w:proofErr w:type="spellStart"/>
      <w:r w:rsidRPr="0001340A">
        <w:t>workpapers</w:t>
      </w:r>
      <w:proofErr w:type="spellEnd"/>
      <w:r w:rsidRPr="0001340A">
        <w:t xml:space="preserve"> to the direct testimony of Brian T. Murphy, </w:t>
      </w:r>
      <w:proofErr w:type="spellStart"/>
      <w:r w:rsidRPr="0001340A">
        <w:t>workpaper</w:t>
      </w:r>
      <w:proofErr w:type="spellEnd"/>
      <w:r w:rsidRPr="0001340A">
        <w:t xml:space="preserve"> “49421 – Staff’s model of CEHE’s CCOSS,” worksheet “I-A.1 to II-F,” at Microsoft Excel row 1261</w:t>
      </w:r>
      <w:r>
        <w:t>.  Calculated using Staff-adjusted base revenues.</w:t>
      </w:r>
    </w:p>
  </w:footnote>
  <w:footnote w:id="57">
    <w:p w:rsidR="00AD1390" w:rsidRDefault="00AD1390" w:rsidP="007D7D99">
      <w:pPr>
        <w:pStyle w:val="FootnoteText"/>
        <w:ind w:firstLine="720"/>
        <w:jc w:val="both"/>
      </w:pPr>
      <w:r>
        <w:rPr>
          <w:rStyle w:val="FootnoteReference"/>
        </w:rPr>
        <w:footnoteRef/>
      </w:r>
      <w:r>
        <w:t xml:space="preserve"> Schedule II-F </w:t>
      </w:r>
      <w:proofErr w:type="spellStart"/>
      <w:r>
        <w:t>Func</w:t>
      </w:r>
      <w:proofErr w:type="spellEnd"/>
      <w:r>
        <w:t xml:space="preserve"> Factors.</w:t>
      </w:r>
    </w:p>
  </w:footnote>
  <w:footnote w:id="58">
    <w:p w:rsidR="00AD1390" w:rsidRPr="007F4BB5" w:rsidRDefault="00AD1390" w:rsidP="007D7D99">
      <w:pPr>
        <w:pStyle w:val="FootnoteText"/>
        <w:ind w:firstLine="720"/>
        <w:jc w:val="both"/>
      </w:pPr>
      <w:r w:rsidRPr="007F4BB5">
        <w:rPr>
          <w:rStyle w:val="FootnoteReference"/>
        </w:rPr>
        <w:footnoteRef/>
      </w:r>
      <w:r w:rsidRPr="007F4BB5">
        <w:t xml:space="preserve"> Schedule II-D-2 at Microsoft Excel cell H21.</w:t>
      </w:r>
    </w:p>
  </w:footnote>
  <w:footnote w:id="59">
    <w:p w:rsidR="00AD1390" w:rsidRPr="007F4BB5" w:rsidRDefault="00AD1390" w:rsidP="007D7D99">
      <w:pPr>
        <w:pStyle w:val="FootnoteText"/>
        <w:ind w:firstLine="720"/>
        <w:jc w:val="both"/>
      </w:pPr>
      <w:r w:rsidRPr="007F4BB5">
        <w:rPr>
          <w:rStyle w:val="FootnoteReference"/>
        </w:rPr>
        <w:footnoteRef/>
      </w:r>
      <w:r w:rsidRPr="007F4BB5">
        <w:t xml:space="preserve"> </w:t>
      </w:r>
      <w:r w:rsidRPr="007F4BB5">
        <w:rPr>
          <w:i/>
        </w:rPr>
        <w:t>See</w:t>
      </w:r>
      <w:r w:rsidRPr="007F4BB5">
        <w:t xml:space="preserve"> “CEHE RFP </w:t>
      </w:r>
      <w:proofErr w:type="spellStart"/>
      <w:r w:rsidRPr="007F4BB5">
        <w:t>Workpapers</w:t>
      </w:r>
      <w:proofErr w:type="spellEnd"/>
      <w:r w:rsidRPr="007F4BB5">
        <w:t xml:space="preserve"> (redacted).XLS,” worksheet “WP VI-L.2,” at </w:t>
      </w:r>
      <w:bookmarkStart w:id="12" w:name="OLE_LINK1"/>
      <w:bookmarkStart w:id="13" w:name="OLE_LINK2"/>
      <w:r w:rsidRPr="007F4BB5">
        <w:t xml:space="preserve">Microsoft Excel </w:t>
      </w:r>
      <w:bookmarkEnd w:id="12"/>
      <w:bookmarkEnd w:id="13"/>
      <w:r w:rsidRPr="007F4BB5">
        <w:t xml:space="preserve">row 42. The allocation basis is payroll expense excluding administrative and general payroll expense (PAYXAG).  </w:t>
      </w:r>
    </w:p>
  </w:footnote>
  <w:footnote w:id="60">
    <w:p w:rsidR="00AD1390" w:rsidRDefault="00AD1390" w:rsidP="007D7D99">
      <w:pPr>
        <w:pStyle w:val="FootnoteText"/>
        <w:ind w:firstLine="720"/>
        <w:jc w:val="both"/>
      </w:pPr>
      <w:r w:rsidRPr="007F4BB5">
        <w:rPr>
          <w:rStyle w:val="FootnoteReference"/>
        </w:rPr>
        <w:footnoteRef/>
      </w:r>
      <w:r w:rsidRPr="007F4BB5">
        <w:t xml:space="preserve"> </w:t>
      </w:r>
      <w:r w:rsidRPr="007F4BB5">
        <w:rPr>
          <w:i/>
        </w:rPr>
        <w:t>Id</w:t>
      </w:r>
      <w:r w:rsidRPr="007F4BB5">
        <w:t xml:space="preserve">. For the directly assigned amount, </w:t>
      </w:r>
      <w:r w:rsidRPr="007F4BB5">
        <w:rPr>
          <w:i/>
        </w:rPr>
        <w:t xml:space="preserve">see </w:t>
      </w:r>
      <w:r w:rsidRPr="007F4BB5">
        <w:t xml:space="preserve">Microsoft Excel cell D42.  For the total amounts assigned to the customer service function, including $8.8 million in expenses functionalized to customer service on a PAYXAG basis, </w:t>
      </w:r>
      <w:r w:rsidRPr="007F4BB5">
        <w:rPr>
          <w:i/>
        </w:rPr>
        <w:t xml:space="preserve">see </w:t>
      </w:r>
      <w:r w:rsidRPr="007F4BB5">
        <w:t>Microsoft Excel cell L42.</w:t>
      </w:r>
    </w:p>
  </w:footnote>
  <w:footnote w:id="61">
    <w:p w:rsidR="00AD1390" w:rsidRDefault="00AD1390" w:rsidP="007D7D99">
      <w:pPr>
        <w:pStyle w:val="FootnoteText"/>
        <w:ind w:firstLine="720"/>
        <w:jc w:val="both"/>
      </w:pPr>
      <w:r>
        <w:rPr>
          <w:rStyle w:val="FootnoteReference"/>
        </w:rPr>
        <w:footnoteRef/>
      </w:r>
      <w:r>
        <w:t xml:space="preserve"> Direct testimony of Mark Filarowicz (June 12, 2019).</w:t>
      </w:r>
    </w:p>
  </w:footnote>
  <w:footnote w:id="62">
    <w:p w:rsidR="00AD1390" w:rsidRDefault="00AD1390" w:rsidP="007D7D99">
      <w:pPr>
        <w:pStyle w:val="FootnoteText"/>
        <w:ind w:firstLine="720"/>
        <w:jc w:val="both"/>
      </w:pPr>
      <w:r>
        <w:rPr>
          <w:rStyle w:val="FootnoteReference"/>
        </w:rPr>
        <w:footnoteRef/>
      </w:r>
      <w:r>
        <w:t xml:space="preserve"> </w:t>
      </w:r>
      <w:proofErr w:type="spellStart"/>
      <w:r>
        <w:t>Workpaper</w:t>
      </w:r>
      <w:proofErr w:type="spellEnd"/>
      <w:r>
        <w:t xml:space="preserve"> “CEHE RFP workpapers.XLS,” at worksheet TB Year to Date.</w:t>
      </w:r>
    </w:p>
  </w:footnote>
  <w:footnote w:id="63">
    <w:p w:rsidR="00AD1390" w:rsidRDefault="00AD1390" w:rsidP="007D7D99">
      <w:pPr>
        <w:pStyle w:val="FootnoteText"/>
        <w:ind w:firstLine="720"/>
        <w:jc w:val="both"/>
      </w:pPr>
      <w:r>
        <w:rPr>
          <w:rStyle w:val="FootnoteReference"/>
        </w:rPr>
        <w:footnoteRef/>
      </w:r>
      <w:r>
        <w:t xml:space="preserve"> Electronic </w:t>
      </w:r>
      <w:proofErr w:type="spellStart"/>
      <w:r>
        <w:t>workpapers</w:t>
      </w:r>
      <w:proofErr w:type="spellEnd"/>
      <w:r>
        <w:t xml:space="preserve"> to the direct testimony of Brian T. Murphy at </w:t>
      </w:r>
      <w:proofErr w:type="spellStart"/>
      <w:r w:rsidRPr="00CE1B47">
        <w:t>Workpaper</w:t>
      </w:r>
      <w:proofErr w:type="spellEnd"/>
      <w:r w:rsidRPr="00CE1B47">
        <w:t xml:space="preserve"> </w:t>
      </w:r>
      <w:proofErr w:type="spellStart"/>
      <w:r w:rsidRPr="00CE1B47">
        <w:t>WP</w:t>
      </w:r>
      <w:r>
        <w:t>_Acct</w:t>
      </w:r>
      <w:proofErr w:type="spellEnd"/>
      <w:r>
        <w:t xml:space="preserve"> 9302. </w:t>
      </w:r>
    </w:p>
  </w:footnote>
  <w:footnote w:id="64">
    <w:p w:rsidR="00AD1390" w:rsidRDefault="00AD1390" w:rsidP="007D7D99">
      <w:pPr>
        <w:pStyle w:val="FootnoteText"/>
        <w:ind w:firstLine="720"/>
        <w:jc w:val="both"/>
      </w:pPr>
      <w:r>
        <w:rPr>
          <w:rStyle w:val="FootnoteReference"/>
        </w:rPr>
        <w:footnoteRef/>
      </w:r>
      <w:r>
        <w:t xml:space="preserve"> As adjusted by Staff witness Filarowicz.</w:t>
      </w:r>
    </w:p>
  </w:footnote>
  <w:footnote w:id="65">
    <w:p w:rsidR="00AD1390" w:rsidRDefault="00AD1390" w:rsidP="007D7D99">
      <w:pPr>
        <w:pStyle w:val="FootnoteText"/>
        <w:ind w:firstLine="720"/>
        <w:jc w:val="both"/>
      </w:pPr>
      <w:r>
        <w:rPr>
          <w:rStyle w:val="FootnoteReference"/>
        </w:rPr>
        <w:footnoteRef/>
      </w:r>
      <w:r>
        <w:t xml:space="preserve"> Amounts were provided in the Company’s response to Staff’s Seventh Set of Requests for Information, at Response No. PUC07-13a.</w:t>
      </w:r>
    </w:p>
  </w:footnote>
  <w:footnote w:id="66">
    <w:p w:rsidR="00AD1390" w:rsidRDefault="00AD1390" w:rsidP="007D7D99">
      <w:pPr>
        <w:pStyle w:val="FootnoteText"/>
        <w:ind w:firstLine="720"/>
        <w:jc w:val="both"/>
      </w:pPr>
      <w:r>
        <w:rPr>
          <w:rStyle w:val="FootnoteReference"/>
        </w:rPr>
        <w:footnoteRef/>
      </w:r>
      <w:r>
        <w:t xml:space="preserve"> Direct Testimony of </w:t>
      </w:r>
      <w:proofErr w:type="spellStart"/>
      <w:r>
        <w:t>Shachella</w:t>
      </w:r>
      <w:proofErr w:type="spellEnd"/>
      <w:r>
        <w:t xml:space="preserve"> James at 20:  Costs of this service are assigned based on number of employee log-in IDs.</w:t>
      </w:r>
    </w:p>
  </w:footnote>
  <w:footnote w:id="67">
    <w:p w:rsidR="00AD1390" w:rsidRDefault="00AD1390" w:rsidP="007D7D99">
      <w:pPr>
        <w:pStyle w:val="FootnoteText"/>
        <w:ind w:firstLine="720"/>
        <w:jc w:val="both"/>
      </w:pPr>
      <w:r>
        <w:rPr>
          <w:rStyle w:val="FootnoteReference"/>
        </w:rPr>
        <w:footnoteRef/>
      </w:r>
      <w:r>
        <w:t xml:space="preserve"> CenterPoint’s response to Staff’s Seventh Set of Requests for Information at Response No. PUC07-12b:  “the primary systems requiring mainframe service include the Customer Information System, The Transaction Management Hub, SAP Enterprise Resource Planning, which receives customer usage and billing information, and the Customer Relationship Management System (CRM) System used to support customer interaction and customer requirements.”</w:t>
      </w:r>
    </w:p>
  </w:footnote>
  <w:footnote w:id="68">
    <w:p w:rsidR="00AD1390" w:rsidRDefault="00AD1390" w:rsidP="007D7D99">
      <w:pPr>
        <w:pStyle w:val="FootnoteText"/>
        <w:ind w:firstLine="720"/>
        <w:jc w:val="both"/>
      </w:pPr>
      <w:r>
        <w:rPr>
          <w:rStyle w:val="FootnoteReference"/>
        </w:rPr>
        <w:footnoteRef/>
      </w:r>
      <w:r>
        <w:t xml:space="preserve"> </w:t>
      </w:r>
      <w:r w:rsidRPr="003E7AB5">
        <w:rPr>
          <w:i/>
        </w:rPr>
        <w:t>Id.</w:t>
      </w:r>
      <w:r>
        <w:t>, at response no. PUC07-13b:  “the data management service includes the Customer Relationship Management (CRM) and SAP databases containing generated customer information used for purposes of supporting electric customers ranging from general billing and customer related support services …”</w:t>
      </w:r>
    </w:p>
  </w:footnote>
  <w:footnote w:id="69">
    <w:p w:rsidR="00AD1390" w:rsidRDefault="00AD1390" w:rsidP="007D7D99">
      <w:pPr>
        <w:pStyle w:val="FootnoteText"/>
        <w:ind w:firstLine="720"/>
        <w:jc w:val="both"/>
      </w:pPr>
      <w:r>
        <w:rPr>
          <w:rStyle w:val="FootnoteReference"/>
        </w:rPr>
        <w:footnoteRef/>
      </w:r>
      <w:r>
        <w:t xml:space="preserve"> </w:t>
      </w:r>
      <w:r w:rsidRPr="007355F7">
        <w:rPr>
          <w:i/>
        </w:rPr>
        <w:t>Id.</w:t>
      </w:r>
      <w:r>
        <w:t>, at response no. PUC07-14:  “The mission critical distributed systems include Customer Relationship Management, SAP Enterprise Resource Planning [discussed in above footnote as customer-related], the Transaction Management Hub, the Meter Data Management system, and Advanced Distribution Management System.”</w:t>
      </w:r>
    </w:p>
  </w:footnote>
  <w:footnote w:id="70">
    <w:p w:rsidR="00AD1390" w:rsidRDefault="00AD1390" w:rsidP="007D7D99">
      <w:pPr>
        <w:pStyle w:val="FootnoteText"/>
        <w:ind w:firstLine="720"/>
        <w:jc w:val="both"/>
      </w:pPr>
      <w:r>
        <w:rPr>
          <w:rStyle w:val="FootnoteReference"/>
        </w:rPr>
        <w:footnoteRef/>
      </w:r>
      <w:r>
        <w:t xml:space="preserve"> Direct Testimony of </w:t>
      </w:r>
      <w:proofErr w:type="spellStart"/>
      <w:r>
        <w:t>Shachella</w:t>
      </w:r>
      <w:proofErr w:type="spellEnd"/>
      <w:r>
        <w:t xml:space="preserve"> James at 20:  “The charges are based upon billable hours of actual work effort required to support ongoing baseline operations activity …”  From this description, this service was included among those in support of the critical business systems identified as customer-related in the above descriptions.</w:t>
      </w:r>
    </w:p>
  </w:footnote>
  <w:footnote w:id="71">
    <w:p w:rsidR="00AD1390" w:rsidRDefault="00AD1390" w:rsidP="007D7D99">
      <w:pPr>
        <w:pStyle w:val="FootnoteText"/>
        <w:ind w:firstLine="720"/>
        <w:jc w:val="both"/>
      </w:pPr>
      <w:r>
        <w:rPr>
          <w:rStyle w:val="FootnoteReference"/>
        </w:rPr>
        <w:footnoteRef/>
      </w:r>
      <w:r>
        <w:t xml:space="preserve"> Response of CenterPoint Energy Houston Electric to Commission Staff’s Twelfth Set of Requests for Information, at Response No. PUC12-04.</w:t>
      </w:r>
    </w:p>
  </w:footnote>
  <w:footnote w:id="72">
    <w:p w:rsidR="00AD1390" w:rsidRDefault="00AD1390" w:rsidP="007D7D99">
      <w:pPr>
        <w:pStyle w:val="FootnoteText"/>
        <w:ind w:firstLine="720"/>
        <w:jc w:val="both"/>
      </w:pPr>
      <w:r>
        <w:rPr>
          <w:rStyle w:val="FootnoteReference"/>
        </w:rPr>
        <w:footnoteRef/>
      </w:r>
      <w:r>
        <w:t xml:space="preserve"> 16 TAC § 25.192(b</w:t>
      </w:r>
      <w:proofErr w:type="gramStart"/>
      <w:r>
        <w:t>)(</w:t>
      </w:r>
      <w:proofErr w:type="gramEnd"/>
      <w:r>
        <w:t>1).</w:t>
      </w:r>
    </w:p>
  </w:footnote>
  <w:footnote w:id="73">
    <w:p w:rsidR="00AD1390" w:rsidRDefault="00AD1390" w:rsidP="007D7D99">
      <w:pPr>
        <w:pStyle w:val="FootnoteText"/>
        <w:ind w:firstLine="720"/>
        <w:jc w:val="both"/>
      </w:pPr>
      <w:r>
        <w:rPr>
          <w:rStyle w:val="FootnoteReference"/>
        </w:rPr>
        <w:footnoteRef/>
      </w:r>
      <w:r>
        <w:t xml:space="preserve"> 16 TAC § 25.192(e</w:t>
      </w:r>
      <w:proofErr w:type="gramStart"/>
      <w:r>
        <w:t>)(</w:t>
      </w:r>
      <w:proofErr w:type="gramEnd"/>
      <w:r>
        <w:t>2).</w:t>
      </w:r>
    </w:p>
  </w:footnote>
  <w:footnote w:id="74">
    <w:p w:rsidR="00AD1390" w:rsidRDefault="00AD1390" w:rsidP="007D7D99">
      <w:pPr>
        <w:pStyle w:val="FootnoteText"/>
        <w:ind w:firstLine="720"/>
        <w:jc w:val="both"/>
      </w:pPr>
      <w:r>
        <w:rPr>
          <w:rStyle w:val="FootnoteReference"/>
        </w:rPr>
        <w:footnoteRef/>
      </w:r>
      <w:r>
        <w:t xml:space="preserve"> Exhibit MAT-10.</w:t>
      </w:r>
    </w:p>
  </w:footnote>
  <w:footnote w:id="75">
    <w:p w:rsidR="00AD1390" w:rsidRPr="00C84221" w:rsidRDefault="00AD1390" w:rsidP="007D7D99">
      <w:pPr>
        <w:pStyle w:val="FootnoteText"/>
        <w:ind w:firstLine="720"/>
        <w:jc w:val="both"/>
      </w:pPr>
      <w:r w:rsidRPr="00C84221">
        <w:rPr>
          <w:rStyle w:val="FootnoteReference"/>
        </w:rPr>
        <w:footnoteRef/>
      </w:r>
      <w:r w:rsidRPr="00C84221">
        <w:t xml:space="preserve"> </w:t>
      </w:r>
      <w:r>
        <w:t>The calculation is:  (</w:t>
      </w:r>
      <w:r w:rsidRPr="00C84221">
        <w:t xml:space="preserve">CenterPoint’s DSP </w:t>
      </w:r>
      <w:proofErr w:type="spellStart"/>
      <w:r w:rsidRPr="00C84221">
        <w:t>Avg</w:t>
      </w:r>
      <w:proofErr w:type="spellEnd"/>
      <w:r w:rsidRPr="00C84221">
        <w:t xml:space="preserve"> 4-CP ÷ ERCOT</w:t>
      </w:r>
      <w:r>
        <w:t xml:space="preserve"> </w:t>
      </w:r>
      <w:proofErr w:type="spellStart"/>
      <w:r>
        <w:t>Avg</w:t>
      </w:r>
      <w:proofErr w:type="spellEnd"/>
      <w:r>
        <w:t xml:space="preserve"> 4-CP)</w:t>
      </w:r>
      <w:r w:rsidRPr="00C84221">
        <w:t xml:space="preserve"> x Staff’s downward </w:t>
      </w:r>
      <w:r>
        <w:t>adjustment to TCOS = (</w:t>
      </w:r>
      <w:r w:rsidRPr="00C84221">
        <w:t>17,323,382.3 ÷ 69,368,963.5</w:t>
      </w:r>
      <w:r>
        <w:t>)</w:t>
      </w:r>
      <w:r w:rsidRPr="00C84221">
        <w:t xml:space="preserve"> x $</w:t>
      </w:r>
      <w:r>
        <w:t>58,873,468 = $14,702,361</w:t>
      </w:r>
      <w:r w:rsidRPr="00C84221">
        <w:t>.</w:t>
      </w:r>
    </w:p>
  </w:footnote>
  <w:footnote w:id="76">
    <w:p w:rsidR="00AD1390" w:rsidRDefault="00AD1390" w:rsidP="005C6B63">
      <w:pPr>
        <w:pStyle w:val="FootnoteText"/>
        <w:ind w:firstLine="720"/>
        <w:jc w:val="both"/>
      </w:pPr>
      <w:r>
        <w:rPr>
          <w:rStyle w:val="FootnoteReference"/>
        </w:rPr>
        <w:footnoteRef/>
      </w:r>
      <w:r>
        <w:t xml:space="preserve"> Retail cost of service before the adjustment to ERCOT transmission payments ($2,185,111,259 from worksheet “I-A.1 to II-F” to Staff’s cost study) minus Staff’s adjustment to ERCOT transmission payments ($14,702,361 as shown in worksheet “WP_ERCOT </w:t>
      </w:r>
      <w:proofErr w:type="spellStart"/>
      <w:r>
        <w:t>pmt</w:t>
      </w:r>
      <w:proofErr w:type="spellEnd"/>
      <w:r>
        <w:t>” to Staff’s cost study).</w:t>
      </w:r>
    </w:p>
  </w:footnote>
  <w:footnote w:id="77">
    <w:p w:rsidR="00AD1390" w:rsidRDefault="00AD1390" w:rsidP="007D7D99">
      <w:pPr>
        <w:pStyle w:val="FootnoteText"/>
        <w:ind w:firstLine="720"/>
        <w:jc w:val="both"/>
      </w:pPr>
      <w:r>
        <w:rPr>
          <w:rStyle w:val="FootnoteReference"/>
        </w:rPr>
        <w:footnoteRef/>
      </w:r>
      <w:r>
        <w:t xml:space="preserve"> Net of other revenues and wholesale revenues.</w:t>
      </w:r>
    </w:p>
  </w:footnote>
  <w:footnote w:id="78">
    <w:p w:rsidR="00AD1390" w:rsidRDefault="00AD1390" w:rsidP="007D7D99">
      <w:pPr>
        <w:pStyle w:val="FootnoteText"/>
        <w:ind w:firstLine="720"/>
        <w:jc w:val="both"/>
      </w:pPr>
      <w:r>
        <w:rPr>
          <w:rStyle w:val="FootnoteReference"/>
        </w:rPr>
        <w:footnoteRef/>
      </w:r>
      <w:r>
        <w:t xml:space="preserve"> Direct Testimony of Matthew A. </w:t>
      </w:r>
      <w:proofErr w:type="spellStart"/>
      <w:r>
        <w:t>Troxle</w:t>
      </w:r>
      <w:proofErr w:type="spellEnd"/>
      <w:r>
        <w:t xml:space="preserve"> at 14.</w:t>
      </w:r>
    </w:p>
  </w:footnote>
  <w:footnote w:id="79">
    <w:p w:rsidR="00AD1390" w:rsidRDefault="00AD1390" w:rsidP="007D7D99">
      <w:pPr>
        <w:pStyle w:val="FootnoteText"/>
        <w:ind w:firstLine="720"/>
        <w:jc w:val="both"/>
      </w:pPr>
      <w:r>
        <w:rPr>
          <w:rStyle w:val="FootnoteReference"/>
        </w:rPr>
        <w:footnoteRef/>
      </w:r>
      <w:r>
        <w:t xml:space="preserve"> Schedule II-H-1.3 at Microsoft Excel rows 148-151.</w:t>
      </w:r>
    </w:p>
  </w:footnote>
  <w:footnote w:id="80">
    <w:p w:rsidR="00AD1390" w:rsidRDefault="00AD1390" w:rsidP="007D7D99">
      <w:pPr>
        <w:pStyle w:val="FootnoteText"/>
        <w:ind w:firstLine="720"/>
        <w:jc w:val="both"/>
      </w:pPr>
      <w:r>
        <w:rPr>
          <w:rStyle w:val="FootnoteReference"/>
        </w:rPr>
        <w:footnoteRef/>
      </w:r>
      <w:r>
        <w:t xml:space="preserve"> Direct Testimony of Matthew A. </w:t>
      </w:r>
      <w:proofErr w:type="spellStart"/>
      <w:r>
        <w:t>Troxle</w:t>
      </w:r>
      <w:proofErr w:type="spellEnd"/>
      <w:r>
        <w:t xml:space="preserve"> at 20.</w:t>
      </w:r>
    </w:p>
  </w:footnote>
  <w:footnote w:id="81">
    <w:p w:rsidR="00AD1390" w:rsidRDefault="00AD1390" w:rsidP="007D7D99">
      <w:pPr>
        <w:pStyle w:val="FootnoteText"/>
        <w:ind w:firstLine="720"/>
        <w:jc w:val="both"/>
      </w:pPr>
      <w:r>
        <w:rPr>
          <w:rStyle w:val="FootnoteReference"/>
        </w:rPr>
        <w:footnoteRef/>
      </w:r>
      <w:r>
        <w:t xml:space="preserve"> Errata 1 at Bates 20 (May 20, 2019).</w:t>
      </w:r>
    </w:p>
  </w:footnote>
  <w:footnote w:id="82">
    <w:p w:rsidR="00AD1390" w:rsidRDefault="00AD1390" w:rsidP="007D7D99">
      <w:pPr>
        <w:pStyle w:val="FootnoteText"/>
        <w:ind w:firstLine="720"/>
        <w:jc w:val="both"/>
      </w:pPr>
      <w:r>
        <w:rPr>
          <w:rStyle w:val="FootnoteReference"/>
        </w:rPr>
        <w:footnoteRef/>
      </w:r>
      <w:r>
        <w:t xml:space="preserve"> CenterPoint’s Responses to Staff’s First Set of Requests for Information at Response No. PUC01-14 (May 2, 2019).</w:t>
      </w:r>
    </w:p>
  </w:footnote>
  <w:footnote w:id="83">
    <w:p w:rsidR="00AD1390" w:rsidRDefault="00AD1390" w:rsidP="007D7D99">
      <w:pPr>
        <w:pStyle w:val="FootnoteText"/>
        <w:ind w:firstLine="720"/>
        <w:jc w:val="both"/>
      </w:pPr>
      <w:r>
        <w:rPr>
          <w:rStyle w:val="FootnoteReference"/>
        </w:rPr>
        <w:footnoteRef/>
      </w:r>
      <w:r>
        <w:t xml:space="preserve"> </w:t>
      </w:r>
      <w:r w:rsidRPr="00A8092B">
        <w:rPr>
          <w:i/>
        </w:rPr>
        <w:t>Application of CenterPoint Electric Delivery Company, LLC for Authority to Change Rates</w:t>
      </w:r>
      <w:r>
        <w:t>, Docket No. 38339, Proposal for Decision at 8 (Dec 3, 2010).</w:t>
      </w:r>
    </w:p>
  </w:footnote>
  <w:footnote w:id="84">
    <w:p w:rsidR="00AD1390" w:rsidRDefault="00AD1390" w:rsidP="007D7D99">
      <w:pPr>
        <w:pStyle w:val="FootnoteText"/>
        <w:ind w:firstLine="720"/>
        <w:jc w:val="both"/>
      </w:pPr>
      <w:r>
        <w:rPr>
          <w:rStyle w:val="FootnoteReference"/>
        </w:rPr>
        <w:footnoteRef/>
      </w:r>
      <w:r>
        <w:t xml:space="preserve"> </w:t>
      </w:r>
      <w:r w:rsidRPr="004B697A">
        <w:rPr>
          <w:i/>
        </w:rPr>
        <w:t>Application of AEP Texas Central Company for Authority to Change Rates</w:t>
      </w:r>
      <w:r>
        <w:t xml:space="preserve">, Docket No. 28840, Final Order at </w:t>
      </w:r>
      <w:proofErr w:type="spellStart"/>
      <w:r>
        <w:t>FoF</w:t>
      </w:r>
      <w:proofErr w:type="spellEnd"/>
      <w:r>
        <w:t xml:space="preserve"> 246 (Aug 15, 2005).</w:t>
      </w:r>
    </w:p>
  </w:footnote>
  <w:footnote w:id="85">
    <w:p w:rsidR="00AD1390" w:rsidRDefault="00AD1390" w:rsidP="007D7D99">
      <w:pPr>
        <w:pStyle w:val="FootnoteText"/>
        <w:ind w:firstLine="720"/>
        <w:jc w:val="both"/>
      </w:pPr>
      <w:r>
        <w:rPr>
          <w:rStyle w:val="FootnoteReference"/>
        </w:rPr>
        <w:footnoteRef/>
      </w:r>
      <w:r>
        <w:t xml:space="preserve">  Direct Testimony of Matthew A. </w:t>
      </w:r>
      <w:proofErr w:type="spellStart"/>
      <w:r>
        <w:t>Troxle</w:t>
      </w:r>
      <w:proofErr w:type="spellEnd"/>
      <w:r>
        <w:t xml:space="preserve"> at 2.</w:t>
      </w:r>
    </w:p>
  </w:footnote>
  <w:footnote w:id="86">
    <w:p w:rsidR="00AD1390" w:rsidRDefault="00AD1390" w:rsidP="007D7D99">
      <w:pPr>
        <w:pStyle w:val="FootnoteText"/>
        <w:ind w:firstLine="720"/>
        <w:jc w:val="both"/>
      </w:pPr>
      <w:r>
        <w:rPr>
          <w:rStyle w:val="FootnoteReference"/>
        </w:rPr>
        <w:footnoteRef/>
      </w:r>
      <w:r>
        <w:t xml:space="preserve"> Electronic </w:t>
      </w:r>
      <w:proofErr w:type="spellStart"/>
      <w:r>
        <w:t>workpapers</w:t>
      </w:r>
      <w:proofErr w:type="spellEnd"/>
      <w:r>
        <w:t xml:space="preserve"> to the Direct Testimony of Brian T. Murphy, Staff’s model of CenterPoint’s class cost of service, at worksheet CCOSS Summary.</w:t>
      </w:r>
    </w:p>
  </w:footnote>
  <w:footnote w:id="87">
    <w:p w:rsidR="00AD1390" w:rsidRDefault="00AD1390" w:rsidP="007D7D99">
      <w:pPr>
        <w:pStyle w:val="FootnoteText"/>
        <w:ind w:firstLine="720"/>
        <w:jc w:val="both"/>
      </w:pPr>
      <w:r>
        <w:rPr>
          <w:rStyle w:val="FootnoteReference"/>
        </w:rPr>
        <w:footnoteRef/>
      </w:r>
      <w:r>
        <w:t xml:space="preserve"> Direct Testimony of Matthew A. </w:t>
      </w:r>
      <w:proofErr w:type="spellStart"/>
      <w:r>
        <w:t>Troxle</w:t>
      </w:r>
      <w:proofErr w:type="spellEnd"/>
      <w:r>
        <w:t xml:space="preserve"> at 25.</w:t>
      </w:r>
    </w:p>
  </w:footnote>
  <w:footnote w:id="88">
    <w:p w:rsidR="00AD1390" w:rsidRDefault="00AD1390" w:rsidP="007D7D99">
      <w:pPr>
        <w:pStyle w:val="FootnoteText"/>
        <w:ind w:firstLine="720"/>
        <w:jc w:val="both"/>
      </w:pPr>
      <w:r>
        <w:rPr>
          <w:rStyle w:val="FootnoteReference"/>
        </w:rPr>
        <w:footnoteRef/>
      </w:r>
      <w:r>
        <w:t xml:space="preserve"> Direct Testimony of Alicia Maloy on behalf of Commission Staff (June 12, 2019).</w:t>
      </w:r>
    </w:p>
  </w:footnote>
  <w:footnote w:id="89">
    <w:p w:rsidR="00AD1390" w:rsidRDefault="00AD1390" w:rsidP="007D7D99">
      <w:pPr>
        <w:pStyle w:val="FootnoteText"/>
        <w:ind w:firstLine="720"/>
        <w:jc w:val="both"/>
      </w:pPr>
      <w:r>
        <w:rPr>
          <w:rStyle w:val="FootnoteReference"/>
        </w:rPr>
        <w:footnoteRef/>
      </w:r>
      <w:r>
        <w:t xml:space="preserve"> Direct Testimony of William Abbott on behalf of Commission Staff (June 12, 2019).</w:t>
      </w:r>
    </w:p>
  </w:footnote>
  <w:footnote w:id="90">
    <w:p w:rsidR="00AD1390" w:rsidRDefault="00AD1390" w:rsidP="007D7D99">
      <w:pPr>
        <w:pStyle w:val="FootnoteText"/>
        <w:ind w:firstLine="720"/>
        <w:jc w:val="both"/>
      </w:pPr>
      <w:r>
        <w:rPr>
          <w:rStyle w:val="FootnoteReference"/>
        </w:rPr>
        <w:footnoteRef/>
      </w:r>
      <w:r>
        <w:t xml:space="preserve"> Direct Testimony of Matthew </w:t>
      </w:r>
      <w:proofErr w:type="spellStart"/>
      <w:r>
        <w:t>Troxle</w:t>
      </w:r>
      <w:proofErr w:type="spellEnd"/>
      <w:r>
        <w:t xml:space="preserve"> at 8 (Apr 5, 2019).</w:t>
      </w:r>
    </w:p>
  </w:footnote>
  <w:footnote w:id="91">
    <w:p w:rsidR="00AD1390" w:rsidRDefault="00AD1390" w:rsidP="007D7D99">
      <w:pPr>
        <w:pStyle w:val="FootnoteText"/>
        <w:ind w:firstLine="720"/>
        <w:jc w:val="both"/>
      </w:pPr>
      <w:r>
        <w:rPr>
          <w:rStyle w:val="FootnoteReference"/>
        </w:rPr>
        <w:footnoteRef/>
      </w:r>
      <w:r>
        <w:t xml:space="preserve"> </w:t>
      </w:r>
      <w:r>
        <w:rPr>
          <w:szCs w:val="24"/>
        </w:rPr>
        <w:t>In some contexts, “billing units” may refer to actual sales and “billing determinants” may refer to the specific billing units that are used to set rates, as a subset of “billing units.”</w:t>
      </w:r>
    </w:p>
  </w:footnote>
  <w:footnote w:id="92">
    <w:p w:rsidR="00AD1390" w:rsidRDefault="00AD1390" w:rsidP="007D7D99">
      <w:pPr>
        <w:pStyle w:val="FootnoteText"/>
        <w:ind w:firstLine="720"/>
        <w:jc w:val="both"/>
      </w:pPr>
      <w:r>
        <w:rPr>
          <w:rStyle w:val="FootnoteReference"/>
        </w:rPr>
        <w:footnoteRef/>
      </w:r>
      <w:r>
        <w:t xml:space="preserve"> Electronic </w:t>
      </w:r>
      <w:proofErr w:type="spellStart"/>
      <w:r>
        <w:t>workpapers</w:t>
      </w:r>
      <w:proofErr w:type="spellEnd"/>
      <w:r>
        <w:t xml:space="preserve"> to the Direct Testimony of Brian T. Murphy, </w:t>
      </w:r>
      <w:proofErr w:type="spellStart"/>
      <w:r>
        <w:t>workpaper</w:t>
      </w:r>
      <w:proofErr w:type="spellEnd"/>
      <w:r>
        <w:t xml:space="preserve"> Present Revenue Adjustments.</w:t>
      </w:r>
    </w:p>
  </w:footnote>
  <w:footnote w:id="93">
    <w:p w:rsidR="00AD1390" w:rsidRDefault="00AD1390" w:rsidP="007D7D99">
      <w:pPr>
        <w:pStyle w:val="FootnoteText"/>
        <w:ind w:firstLine="720"/>
        <w:jc w:val="both"/>
      </w:pPr>
      <w:r>
        <w:rPr>
          <w:rStyle w:val="FootnoteReference"/>
        </w:rPr>
        <w:footnoteRef/>
      </w:r>
      <w:r>
        <w:t xml:space="preserve"> Application at 12, table showing Retail Delivery Present Base Revenues.</w:t>
      </w:r>
    </w:p>
  </w:footnote>
  <w:footnote w:id="94">
    <w:p w:rsidR="00AD1390" w:rsidRDefault="00AD1390" w:rsidP="007D7D99">
      <w:pPr>
        <w:pStyle w:val="FootnoteText"/>
        <w:ind w:firstLine="720"/>
        <w:jc w:val="both"/>
      </w:pPr>
      <w:r>
        <w:rPr>
          <w:rStyle w:val="FootnoteReference"/>
        </w:rPr>
        <w:footnoteRef/>
      </w:r>
      <w:r>
        <w:t xml:space="preserve"> Electronic </w:t>
      </w:r>
      <w:proofErr w:type="spellStart"/>
      <w:r>
        <w:t>workpapers</w:t>
      </w:r>
      <w:proofErr w:type="spellEnd"/>
      <w:r>
        <w:t xml:space="preserve"> to the Direct Testimony of Brian T. Murphy, </w:t>
      </w:r>
      <w:proofErr w:type="spellStart"/>
      <w:r>
        <w:t>workpaper</w:t>
      </w:r>
      <w:proofErr w:type="spellEnd"/>
      <w:r>
        <w:t xml:space="preserve"> Present Revenue Adjustments.</w:t>
      </w:r>
    </w:p>
  </w:footnote>
  <w:footnote w:id="95">
    <w:p w:rsidR="00AD1390" w:rsidRPr="00854D25" w:rsidRDefault="00AD1390" w:rsidP="007D7D99">
      <w:pPr>
        <w:pStyle w:val="FootnoteText"/>
        <w:ind w:firstLine="720"/>
        <w:jc w:val="both"/>
      </w:pPr>
      <w:r>
        <w:rPr>
          <w:rStyle w:val="FootnoteReference"/>
        </w:rPr>
        <w:footnoteRef/>
      </w:r>
      <w:r>
        <w:t xml:space="preserve"> Does not reflect the Rider UEDIT credit.</w:t>
      </w:r>
    </w:p>
  </w:footnote>
  <w:footnote w:id="96">
    <w:p w:rsidR="00AD1390" w:rsidRPr="00243068" w:rsidRDefault="00AD1390" w:rsidP="007D7D99">
      <w:pPr>
        <w:pStyle w:val="FootnoteText"/>
        <w:ind w:firstLine="720"/>
        <w:jc w:val="both"/>
      </w:pPr>
      <w:r w:rsidRPr="00243068">
        <w:rPr>
          <w:rStyle w:val="FootnoteReference"/>
        </w:rPr>
        <w:footnoteRef/>
      </w:r>
      <w:r w:rsidRPr="00243068">
        <w:t xml:space="preserve"> This can happen when a utility’s cost structure or customer demographics change over time, or if inter-class subsidies were inadvertently introduced when current rates were set.</w:t>
      </w:r>
    </w:p>
  </w:footnote>
  <w:footnote w:id="97">
    <w:p w:rsidR="00AD1390" w:rsidRDefault="00AD1390" w:rsidP="007D7D99">
      <w:pPr>
        <w:pStyle w:val="FootnoteText"/>
        <w:ind w:firstLine="720"/>
        <w:jc w:val="both"/>
      </w:pPr>
      <w:r>
        <w:rPr>
          <w:rStyle w:val="FootnoteReference"/>
        </w:rPr>
        <w:footnoteRef/>
      </w:r>
      <w:r>
        <w:t xml:space="preserve"> Open Meeting Transcript at p. 120-121 (June 29, 2000).</w:t>
      </w:r>
    </w:p>
  </w:footnote>
  <w:footnote w:id="98">
    <w:p w:rsidR="00AD1390" w:rsidRDefault="00AD1390" w:rsidP="007D7D99">
      <w:pPr>
        <w:pStyle w:val="FootnoteText"/>
        <w:ind w:firstLine="720"/>
        <w:jc w:val="both"/>
      </w:pPr>
      <w:r>
        <w:rPr>
          <w:rStyle w:val="FootnoteReference"/>
        </w:rPr>
        <w:footnoteRef/>
      </w:r>
      <w:r>
        <w:t xml:space="preserve"> Direct Testimony of Matthew A. </w:t>
      </w:r>
      <w:proofErr w:type="spellStart"/>
      <w:r>
        <w:t>Troxle</w:t>
      </w:r>
      <w:proofErr w:type="spellEnd"/>
      <w:r>
        <w:t xml:space="preserve"> at 27.</w:t>
      </w:r>
    </w:p>
  </w:footnote>
  <w:footnote w:id="99">
    <w:p w:rsidR="00AD1390" w:rsidRPr="00112476" w:rsidRDefault="00AD1390" w:rsidP="007D7D99">
      <w:pPr>
        <w:pStyle w:val="FootnoteText"/>
        <w:ind w:firstLine="720"/>
        <w:jc w:val="both"/>
      </w:pPr>
      <w:r w:rsidRPr="00112476">
        <w:rPr>
          <w:rStyle w:val="FootnoteReference"/>
        </w:rPr>
        <w:footnoteRef/>
      </w:r>
      <w:r w:rsidRPr="00112476">
        <w:t xml:space="preserve"> The customer also receives generation services and retail services through the customer’</w:t>
      </w:r>
      <w:r>
        <w:t>s retail electric provider.</w:t>
      </w:r>
    </w:p>
  </w:footnote>
  <w:footnote w:id="100">
    <w:p w:rsidR="00AD1390" w:rsidRDefault="00AD1390" w:rsidP="007D7D99">
      <w:pPr>
        <w:pStyle w:val="FootnoteText"/>
        <w:ind w:firstLine="720"/>
        <w:jc w:val="both"/>
      </w:pPr>
      <w:r>
        <w:rPr>
          <w:rStyle w:val="FootnoteReference"/>
        </w:rPr>
        <w:footnoteRef/>
      </w:r>
      <w:r>
        <w:t xml:space="preserve"> </w:t>
      </w:r>
      <w:r w:rsidRPr="00606DB0">
        <w:rPr>
          <w:i/>
        </w:rPr>
        <w:t xml:space="preserve">Application of Southwestern Public Service Company </w:t>
      </w:r>
      <w:r>
        <w:rPr>
          <w:i/>
        </w:rPr>
        <w:t>fo</w:t>
      </w:r>
      <w:r w:rsidRPr="00606DB0">
        <w:rPr>
          <w:i/>
        </w:rPr>
        <w:t>r Authority to Change Rates</w:t>
      </w:r>
      <w:r>
        <w:t xml:space="preserve">, Docket No. 43695, Final Order at 9 (Feb. 23, 2016):  “The Commission declines to adopt any gradualism adjustment in this proceeding. The Commission has often stated that one of its primary responsibilities in setting rates is ensuring those rates are to the greatest extent reasonable, consistent with cost causation. Further, as SPS conceded, the wisdom of a gradualism adjustment is affected by the size of the rate change. While there is no magic threshold at which a change in rates automatically justifies an aberration from basing rates on classes costs of service, in Docket 40443 the Commission determined that an increase as large as 29% did not warrant rate mitigation. Here, SPS's overall Texas retail revenue requirement will be decreased by less than 1% and class allocations based purely on each classes' cost of service will result in relatively </w:t>
      </w:r>
      <w:proofErr w:type="spellStart"/>
      <w:r>
        <w:t>srnall</w:t>
      </w:r>
      <w:proofErr w:type="spellEnd"/>
      <w:r>
        <w:t xml:space="preserve"> rate changes. All but one class will experience less than a 14% change to its base-revenue responsibilities. The largest change will be borne by Street Lighting customers, whose revenue responsibility will increase 24.28%. Thus, moving from classes' costs of service and mandating inter-class cost subsidization is not warranted in this proceeding.”</w:t>
      </w:r>
    </w:p>
  </w:footnote>
  <w:footnote w:id="101">
    <w:p w:rsidR="00AD1390" w:rsidRDefault="00AD1390" w:rsidP="007D7D99">
      <w:pPr>
        <w:pStyle w:val="FootnoteText"/>
        <w:ind w:firstLine="720"/>
        <w:jc w:val="both"/>
      </w:pPr>
      <w:r>
        <w:rPr>
          <w:rStyle w:val="FootnoteReference"/>
        </w:rPr>
        <w:footnoteRef/>
      </w:r>
      <w:r>
        <w:t xml:space="preserve"> Exhibit MAT-9 at 101, Tariff rate schedule no. </w:t>
      </w:r>
      <w:r w:rsidRPr="00BB4801">
        <w:rPr>
          <w:i/>
        </w:rPr>
        <w:t>6.1.1.1.6, Lighting Services (Street Lighting and Miscellaneous Lighting Services)</w:t>
      </w:r>
      <w:r>
        <w:t>.</w:t>
      </w:r>
    </w:p>
  </w:footnote>
  <w:footnote w:id="102">
    <w:p w:rsidR="00AD1390" w:rsidRDefault="00AD1390" w:rsidP="007D7D99">
      <w:pPr>
        <w:pStyle w:val="FootnoteText"/>
        <w:ind w:firstLine="720"/>
        <w:jc w:val="both"/>
      </w:pPr>
      <w:r>
        <w:rPr>
          <w:rStyle w:val="FootnoteReference"/>
        </w:rPr>
        <w:footnoteRef/>
      </w:r>
      <w:r>
        <w:t xml:space="preserve"> Exhibit MAT-8 at 33.</w:t>
      </w:r>
    </w:p>
  </w:footnote>
  <w:footnote w:id="103">
    <w:p w:rsidR="00AD1390" w:rsidRDefault="00AD1390" w:rsidP="007D7D99">
      <w:pPr>
        <w:pStyle w:val="FootnoteText"/>
        <w:ind w:firstLine="720"/>
        <w:jc w:val="both"/>
      </w:pPr>
      <w:r>
        <w:rPr>
          <w:rStyle w:val="FootnoteReference"/>
        </w:rPr>
        <w:footnoteRef/>
      </w:r>
      <w:r>
        <w:t xml:space="preserve"> Exhibit MAT-8 at 38.</w:t>
      </w:r>
    </w:p>
  </w:footnote>
  <w:footnote w:id="104">
    <w:p w:rsidR="00AD1390" w:rsidRPr="00A85BF4" w:rsidRDefault="00AD1390" w:rsidP="007D7D99">
      <w:pPr>
        <w:pStyle w:val="FootnoteText"/>
        <w:ind w:firstLine="720"/>
        <w:jc w:val="both"/>
      </w:pPr>
      <w:r>
        <w:rPr>
          <w:rStyle w:val="FootnoteReference"/>
        </w:rPr>
        <w:footnoteRef/>
      </w:r>
      <w:r>
        <w:t xml:space="preserve"> CenterPoint’s response to Commission Staff’s Third Set of Requests for Information at Response No. PUC03-15 (May 8, 2019):  “The change requested is for the LED streetlight fixture to become the standard streetlight fixture in CenterPoint Houston’s entire electric footprint.  The approval of the current proposal would make the LED light CenterPoint Houston’s streetlight standard, allowing </w:t>
      </w:r>
      <w:r w:rsidRPr="00A85BF4">
        <w:rPr>
          <w:b/>
        </w:rPr>
        <w:t>any</w:t>
      </w:r>
      <w:r>
        <w:rPr>
          <w:b/>
        </w:rPr>
        <w:t xml:space="preserve"> </w:t>
      </w:r>
      <w:r>
        <w:t>streetlight upon failure to be replaced with a LED streetlight fixture.”</w:t>
      </w:r>
    </w:p>
  </w:footnote>
  <w:footnote w:id="105">
    <w:p w:rsidR="00AD1390" w:rsidRPr="00796806" w:rsidRDefault="00AD1390" w:rsidP="007D7D99">
      <w:pPr>
        <w:pStyle w:val="FootnoteText"/>
        <w:ind w:firstLine="720"/>
        <w:jc w:val="both"/>
      </w:pPr>
      <w:r>
        <w:rPr>
          <w:rStyle w:val="FootnoteReference"/>
        </w:rPr>
        <w:footnoteRef/>
      </w:r>
      <w:r>
        <w:t xml:space="preserve"> </w:t>
      </w:r>
      <w:r w:rsidRPr="00796806">
        <w:rPr>
          <w:i/>
        </w:rPr>
        <w:t>Id.</w:t>
      </w:r>
      <w:r>
        <w:t>, at Response No. PUC03-12:  “The Company is no longer procuring non-LED Lamp types for its inventory.  As Non-LED lamp inventory levels decrease, the option for a retail customer to select a non-LED lamp may not be available over time.”</w:t>
      </w:r>
    </w:p>
  </w:footnote>
  <w:footnote w:id="106">
    <w:p w:rsidR="00AD1390" w:rsidRDefault="00AD1390" w:rsidP="007D7D99">
      <w:pPr>
        <w:pStyle w:val="FootnoteText"/>
        <w:ind w:firstLine="720"/>
        <w:jc w:val="both"/>
      </w:pPr>
      <w:r>
        <w:rPr>
          <w:rStyle w:val="FootnoteReference"/>
        </w:rPr>
        <w:footnoteRef/>
      </w:r>
      <w:r>
        <w:t xml:space="preserve"> </w:t>
      </w:r>
      <w:r w:rsidRPr="0081733F">
        <w:rPr>
          <w:i/>
        </w:rPr>
        <w:t>Id.</w:t>
      </w:r>
      <w:r>
        <w:t>, at 33.</w:t>
      </w:r>
    </w:p>
  </w:footnote>
  <w:footnote w:id="107">
    <w:p w:rsidR="00AD1390" w:rsidRPr="006D0098" w:rsidRDefault="00AD1390" w:rsidP="007D7D99">
      <w:pPr>
        <w:pStyle w:val="FootnoteText"/>
        <w:ind w:firstLine="720"/>
        <w:jc w:val="both"/>
      </w:pPr>
      <w:r w:rsidRPr="006D0098">
        <w:rPr>
          <w:rStyle w:val="FootnoteReference"/>
        </w:rPr>
        <w:footnoteRef/>
      </w:r>
      <w:r w:rsidRPr="006D0098">
        <w:t xml:space="preserve"> Flow-through effects in the cost study.</w:t>
      </w:r>
    </w:p>
  </w:footnote>
  <w:footnote w:id="108">
    <w:p w:rsidR="00AD1390" w:rsidRPr="006D0098" w:rsidRDefault="00AD1390" w:rsidP="007D7D99">
      <w:pPr>
        <w:pStyle w:val="FootnoteText"/>
        <w:ind w:firstLine="720"/>
        <w:jc w:val="both"/>
      </w:pPr>
      <w:r w:rsidRPr="006D0098">
        <w:rPr>
          <w:rStyle w:val="FootnoteReference"/>
        </w:rPr>
        <w:footnoteRef/>
      </w:r>
      <w:r w:rsidRPr="006D0098">
        <w:t xml:space="preserve"> CenterPoint’s responses to Commission Staff’s Third Set of Requests for Information at Response No. PUC03-09, Attachment LED Conversion Summary Presentation at 35 (May 8, 2019):  “LED fixtures average 1 ½ to 3 times the cost of standard [High Pressure Sodium] fixtures … Monthly fixture charge paid to [CenterPoint] will likely increase substantially.”</w:t>
      </w:r>
    </w:p>
  </w:footnote>
  <w:footnote w:id="109">
    <w:p w:rsidR="00AD1390" w:rsidRPr="006D0098" w:rsidRDefault="00AD1390" w:rsidP="007D7D99">
      <w:pPr>
        <w:pStyle w:val="FootnoteText"/>
        <w:ind w:firstLine="720"/>
        <w:jc w:val="both"/>
      </w:pPr>
      <w:r w:rsidRPr="006D0098">
        <w:rPr>
          <w:rStyle w:val="FootnoteReference"/>
        </w:rPr>
        <w:footnoteRef/>
      </w:r>
      <w:r w:rsidRPr="006D0098">
        <w:t xml:space="preserve"> </w:t>
      </w:r>
      <w:r w:rsidRPr="006D0098">
        <w:rPr>
          <w:i/>
        </w:rPr>
        <w:t>Id.</w:t>
      </w:r>
      <w:r w:rsidRPr="006D0098">
        <w:t xml:space="preserve">, at Confidential Response No. PUC03-10, worksheet “LED DCF with recovery,” at Microsoft Excel row </w:t>
      </w:r>
      <w:r>
        <w:t xml:space="preserve">60, indicating ongoing O&amp;M of </w:t>
      </w:r>
      <w:r w:rsidRPr="00B450DA">
        <w:rPr>
          <w:highlight w:val="black"/>
        </w:rPr>
        <w:t>xx</w:t>
      </w:r>
      <w:r w:rsidRPr="006D0098">
        <w:t>.</w:t>
      </w:r>
    </w:p>
  </w:footnote>
  <w:footnote w:id="110">
    <w:p w:rsidR="00AD1390" w:rsidRPr="006D0098" w:rsidRDefault="00AD1390" w:rsidP="007D7D99">
      <w:pPr>
        <w:pStyle w:val="FootnoteText"/>
        <w:ind w:firstLine="720"/>
        <w:jc w:val="both"/>
      </w:pPr>
      <w:r w:rsidRPr="006D0098">
        <w:rPr>
          <w:rStyle w:val="FootnoteReference"/>
        </w:rPr>
        <w:footnoteRef/>
      </w:r>
      <w:r w:rsidRPr="006D0098">
        <w:t xml:space="preserve"> Id., at worksheet “Assumptions,” Microsoft Excel cell D47:  “HPS luminaires have a </w:t>
      </w:r>
      <w:r w:rsidRPr="00B450DA">
        <w:rPr>
          <w:highlight w:val="black"/>
        </w:rPr>
        <w:t xml:space="preserve">XX </w:t>
      </w:r>
      <w:proofErr w:type="spellStart"/>
      <w:r w:rsidRPr="00B450DA">
        <w:rPr>
          <w:highlight w:val="black"/>
        </w:rPr>
        <w:t>xx</w:t>
      </w:r>
      <w:proofErr w:type="spellEnd"/>
      <w:r w:rsidRPr="006D0098">
        <w:t xml:space="preserve"> life and bulbs have </w:t>
      </w:r>
      <w:proofErr w:type="gramStart"/>
      <w:r w:rsidRPr="006D0098">
        <w:t>a</w:t>
      </w:r>
      <w:proofErr w:type="gramEnd"/>
      <w:r w:rsidRPr="006D0098">
        <w:t xml:space="preserve"> </w:t>
      </w:r>
      <w:proofErr w:type="spellStart"/>
      <w:r w:rsidRPr="00B450DA">
        <w:rPr>
          <w:highlight w:val="black"/>
        </w:rPr>
        <w:t>xxxxx</w:t>
      </w:r>
      <w:proofErr w:type="spellEnd"/>
      <w:r w:rsidRPr="006D0098">
        <w:t xml:space="preserve"> life LED bulbs cannot be replaced, thus failure of luminaire components requires luminaire replacement.”</w:t>
      </w:r>
    </w:p>
  </w:footnote>
  <w:footnote w:id="111">
    <w:p w:rsidR="00AD1390" w:rsidRDefault="00AD1390" w:rsidP="007D7D99">
      <w:pPr>
        <w:pStyle w:val="FootnoteText"/>
        <w:ind w:firstLine="720"/>
        <w:jc w:val="both"/>
      </w:pPr>
      <w:r w:rsidRPr="006D0098">
        <w:rPr>
          <w:rStyle w:val="FootnoteReference"/>
        </w:rPr>
        <w:footnoteRef/>
      </w:r>
      <w:r w:rsidRPr="006D0098">
        <w:t xml:space="preserve"> CenterPoint’s responses to Commission Staff’s Third Set of Requests for Information at Confidential Response No. PUC03-10, worksheet “Assumptions,” Microsoft Excel cell C50 </w:t>
      </w:r>
      <w:r>
        <w:t>(May 8, 2019).</w:t>
      </w:r>
    </w:p>
  </w:footnote>
  <w:footnote w:id="112">
    <w:p w:rsidR="00AD1390" w:rsidRDefault="00AD1390" w:rsidP="007D7D99">
      <w:pPr>
        <w:pStyle w:val="FootnoteText"/>
        <w:ind w:firstLine="720"/>
        <w:jc w:val="both"/>
      </w:pPr>
      <w:r>
        <w:rPr>
          <w:rStyle w:val="FootnoteReference"/>
        </w:rPr>
        <w:footnoteRef/>
      </w:r>
      <w:r>
        <w:t xml:space="preserve"> </w:t>
      </w:r>
      <w:r w:rsidRPr="00707BB2">
        <w:rPr>
          <w:i/>
        </w:rPr>
        <w:t>Id.</w:t>
      </w:r>
      <w:r>
        <w:t>, at cell D47:  “</w:t>
      </w:r>
      <w:r w:rsidRPr="00707BB2">
        <w:t xml:space="preserve">HPS </w:t>
      </w:r>
      <w:proofErr w:type="spellStart"/>
      <w:r w:rsidRPr="006D0098">
        <w:t>luminiares</w:t>
      </w:r>
      <w:proofErr w:type="spellEnd"/>
      <w:r w:rsidRPr="006D0098">
        <w:t xml:space="preserve"> have </w:t>
      </w:r>
      <w:proofErr w:type="gramStart"/>
      <w:r w:rsidRPr="006D0098">
        <w:t>a</w:t>
      </w:r>
      <w:proofErr w:type="gramEnd"/>
      <w:r w:rsidRPr="006D0098">
        <w:t xml:space="preserve"> </w:t>
      </w:r>
      <w:proofErr w:type="spellStart"/>
      <w:r w:rsidRPr="00B450DA">
        <w:rPr>
          <w:highlight w:val="black"/>
        </w:rPr>
        <w:t>xxxxx</w:t>
      </w:r>
      <w:proofErr w:type="spellEnd"/>
      <w:r w:rsidRPr="006D0098">
        <w:t xml:space="preserve"> life and bulbs have a </w:t>
      </w:r>
      <w:proofErr w:type="spellStart"/>
      <w:r w:rsidRPr="00B450DA">
        <w:rPr>
          <w:highlight w:val="black"/>
        </w:rPr>
        <w:t>xxxxx</w:t>
      </w:r>
      <w:proofErr w:type="spellEnd"/>
      <w:r>
        <w:t xml:space="preserve"> </w:t>
      </w:r>
      <w:r w:rsidRPr="006D0098">
        <w:t xml:space="preserve">life. LED </w:t>
      </w:r>
      <w:r w:rsidRPr="00707BB2">
        <w:t>bulbs cannot be replaced,</w:t>
      </w:r>
      <w:r>
        <w:t xml:space="preserve"> thus failure of luminaire compo</w:t>
      </w:r>
      <w:r w:rsidRPr="00707BB2">
        <w:t>nents requires luminaire replacement.</w:t>
      </w:r>
      <w:r>
        <w:t>”</w:t>
      </w:r>
    </w:p>
  </w:footnote>
  <w:footnote w:id="113">
    <w:p w:rsidR="00AD1390" w:rsidRDefault="00AD1390" w:rsidP="007D7D99">
      <w:pPr>
        <w:pStyle w:val="FootnoteText"/>
        <w:ind w:firstLine="720"/>
        <w:jc w:val="both"/>
      </w:pPr>
      <w:r>
        <w:rPr>
          <w:rStyle w:val="FootnoteReference"/>
        </w:rPr>
        <w:footnoteRef/>
      </w:r>
      <w:r>
        <w:t xml:space="preserve"> </w:t>
      </w:r>
      <w:r w:rsidRPr="002720D4">
        <w:rPr>
          <w:i/>
        </w:rPr>
        <w:t>Id.</w:t>
      </w:r>
      <w:r>
        <w:t>, at cell B10, “LED Materials Inflation.”</w:t>
      </w:r>
    </w:p>
  </w:footnote>
  <w:footnote w:id="114">
    <w:p w:rsidR="00AD1390" w:rsidRDefault="00AD1390" w:rsidP="007D7D99">
      <w:pPr>
        <w:pStyle w:val="FootnoteText"/>
        <w:ind w:firstLine="720"/>
        <w:jc w:val="both"/>
      </w:pPr>
      <w:r>
        <w:rPr>
          <w:rStyle w:val="FootnoteReference"/>
        </w:rPr>
        <w:footnoteRef/>
      </w:r>
      <w:r>
        <w:t xml:space="preserve"> </w:t>
      </w:r>
      <w:r w:rsidRPr="002720D4">
        <w:rPr>
          <w:i/>
        </w:rPr>
        <w:t>Id.</w:t>
      </w:r>
      <w:r>
        <w:t>, at cell B11, “HPS Materials Inflation.”</w:t>
      </w:r>
    </w:p>
  </w:footnote>
  <w:footnote w:id="115">
    <w:p w:rsidR="00AD1390" w:rsidRDefault="00AD1390" w:rsidP="007D7D99">
      <w:pPr>
        <w:pStyle w:val="FootnoteText"/>
        <w:ind w:firstLine="720"/>
        <w:jc w:val="both"/>
      </w:pPr>
      <w:r>
        <w:rPr>
          <w:rStyle w:val="FootnoteReference"/>
        </w:rPr>
        <w:footnoteRef/>
      </w:r>
      <w:r>
        <w:t xml:space="preserve"> </w:t>
      </w:r>
      <w:r w:rsidRPr="006337E6">
        <w:rPr>
          <w:i/>
        </w:rPr>
        <w:t>See</w:t>
      </w:r>
      <w:r>
        <w:t>, e.g., CenterPoint’s responses to Commission Staff’s Third Set of Requests for Information at Response No. PUC03-09, Attachment “</w:t>
      </w:r>
      <w:r w:rsidRPr="00AA6FC9">
        <w:t>LED Conversion Summary Presentation</w:t>
      </w:r>
      <w:r>
        <w:t>,” at 16 (May 8, 2019),</w:t>
      </w:r>
    </w:p>
  </w:footnote>
  <w:footnote w:id="116">
    <w:p w:rsidR="00AD1390" w:rsidRDefault="00AD1390" w:rsidP="007D7D99">
      <w:pPr>
        <w:pStyle w:val="FootnoteText"/>
        <w:ind w:firstLine="720"/>
        <w:jc w:val="both"/>
      </w:pPr>
      <w:r>
        <w:rPr>
          <w:rStyle w:val="FootnoteReference"/>
        </w:rPr>
        <w:footnoteRef/>
      </w:r>
      <w:r>
        <w:t xml:space="preserve"> </w:t>
      </w:r>
      <w:r w:rsidRPr="00E259D1">
        <w:rPr>
          <w:i/>
        </w:rPr>
        <w:t>Id.</w:t>
      </w:r>
      <w:r>
        <w:t>, at 14.</w:t>
      </w:r>
    </w:p>
  </w:footnote>
  <w:footnote w:id="117">
    <w:p w:rsidR="00AD1390" w:rsidRDefault="00AD1390" w:rsidP="007D7D99">
      <w:pPr>
        <w:pStyle w:val="FootnoteText"/>
        <w:ind w:firstLine="720"/>
        <w:jc w:val="both"/>
      </w:pPr>
      <w:r>
        <w:rPr>
          <w:rStyle w:val="FootnoteReference"/>
        </w:rPr>
        <w:footnoteRef/>
      </w:r>
      <w:r>
        <w:t xml:space="preserve"> </w:t>
      </w:r>
      <w:r w:rsidRPr="005858FB">
        <w:rPr>
          <w:i/>
        </w:rPr>
        <w:t>Id.</w:t>
      </w:r>
      <w:r>
        <w:t>, at 15.</w:t>
      </w:r>
    </w:p>
  </w:footnote>
  <w:footnote w:id="118">
    <w:p w:rsidR="00AD1390" w:rsidRDefault="00AD1390" w:rsidP="007D7D99">
      <w:pPr>
        <w:ind w:firstLine="720"/>
        <w:jc w:val="both"/>
      </w:pPr>
      <w:r w:rsidRPr="009643E6">
        <w:rPr>
          <w:rStyle w:val="FootnoteReference"/>
        </w:rPr>
        <w:footnoteRef/>
      </w:r>
      <w:r w:rsidRPr="009643E6">
        <w:t xml:space="preserve"> </w:t>
      </w:r>
      <w:r w:rsidRPr="009643E6">
        <w:rPr>
          <w:i/>
        </w:rPr>
        <w:t>See</w:t>
      </w:r>
      <w:r w:rsidRPr="009643E6">
        <w:t xml:space="preserve"> CenterPoint’s </w:t>
      </w:r>
      <w:r w:rsidRPr="009643E6">
        <w:rPr>
          <w:i/>
        </w:rPr>
        <w:t>Tariff for Retail Delivery Service, Sheet No. 2.2</w:t>
      </w:r>
      <w:r w:rsidRPr="009643E6">
        <w:t xml:space="preserve"> at 1:  </w:t>
      </w:r>
      <w:r>
        <w:t xml:space="preserve">Cities of </w:t>
      </w:r>
      <w:proofErr w:type="spellStart"/>
      <w:r w:rsidRPr="009643E6">
        <w:t>Addicks</w:t>
      </w:r>
      <w:proofErr w:type="spellEnd"/>
      <w:r w:rsidRPr="009643E6">
        <w:t xml:space="preserve">, Aldine, </w:t>
      </w:r>
      <w:proofErr w:type="spellStart"/>
      <w:r w:rsidRPr="009643E6">
        <w:t>Algoa</w:t>
      </w:r>
      <w:proofErr w:type="spellEnd"/>
      <w:r w:rsidRPr="009643E6">
        <w:t xml:space="preserve">, Alta Loma, Arcadia, Arcola, Bacliff, </w:t>
      </w:r>
      <w:proofErr w:type="spellStart"/>
      <w:r w:rsidRPr="009643E6">
        <w:t>Bammel</w:t>
      </w:r>
      <w:proofErr w:type="spellEnd"/>
      <w:r w:rsidRPr="009643E6">
        <w:t xml:space="preserve">, Barker, Barrett, Bayou Vista (Village Of), Baytown, Beach City, Beasley, Bellaire, Big Creek, Blue Ridge, Boling, Bonney, Bonus, Booth, Brazos Country, Brookshire, Brookside Village, Bunker Hill, Burleigh, Cedar Bayou, Channelview, Chenango, </w:t>
      </w:r>
      <w:proofErr w:type="spellStart"/>
      <w:r w:rsidRPr="009643E6">
        <w:t>Chesterville</w:t>
      </w:r>
      <w:proofErr w:type="spellEnd"/>
      <w:r w:rsidRPr="009643E6">
        <w:t xml:space="preserve">, Clear Lake Shores, </w:t>
      </w:r>
      <w:proofErr w:type="spellStart"/>
      <w:r w:rsidRPr="009643E6">
        <w:t>Clodine</w:t>
      </w:r>
      <w:proofErr w:type="spellEnd"/>
      <w:r w:rsidRPr="009643E6">
        <w:t xml:space="preserve">, Cloverleaf, Clute, </w:t>
      </w:r>
      <w:proofErr w:type="spellStart"/>
      <w:r w:rsidRPr="009643E6">
        <w:t>Coady</w:t>
      </w:r>
      <w:proofErr w:type="spellEnd"/>
      <w:r w:rsidRPr="009643E6">
        <w:t xml:space="preserve">, Cochran, Cove, </w:t>
      </w:r>
      <w:proofErr w:type="spellStart"/>
      <w:r w:rsidRPr="009643E6">
        <w:t>Crabb</w:t>
      </w:r>
      <w:proofErr w:type="spellEnd"/>
      <w:r w:rsidRPr="009643E6">
        <w:t xml:space="preserve">, Crosby, Cypress, Damon, Danbury, </w:t>
      </w:r>
      <w:proofErr w:type="spellStart"/>
      <w:r w:rsidRPr="009643E6">
        <w:t>Danciger</w:t>
      </w:r>
      <w:proofErr w:type="spellEnd"/>
      <w:r w:rsidRPr="009643E6">
        <w:t xml:space="preserve">, Decker Prairie, Deer Park, </w:t>
      </w:r>
      <w:proofErr w:type="spellStart"/>
      <w:r w:rsidRPr="009643E6">
        <w:t>Dewalt</w:t>
      </w:r>
      <w:proofErr w:type="spellEnd"/>
      <w:r w:rsidRPr="009643E6">
        <w:t xml:space="preserve">, East Bernard, Egypt, El Lago, </w:t>
      </w:r>
      <w:proofErr w:type="spellStart"/>
      <w:r w:rsidRPr="009643E6">
        <w:t>Fairchilds</w:t>
      </w:r>
      <w:proofErr w:type="spellEnd"/>
      <w:r w:rsidRPr="009643E6">
        <w:t xml:space="preserve">, Foster, Freeport, Fresno, </w:t>
      </w:r>
      <w:proofErr w:type="spellStart"/>
      <w:r w:rsidRPr="009643E6">
        <w:t>Frydek</w:t>
      </w:r>
      <w:proofErr w:type="spellEnd"/>
      <w:r w:rsidRPr="009643E6">
        <w:t xml:space="preserve">, </w:t>
      </w:r>
      <w:proofErr w:type="spellStart"/>
      <w:r w:rsidRPr="009643E6">
        <w:t>Fulshear</w:t>
      </w:r>
      <w:proofErr w:type="spellEnd"/>
      <w:r w:rsidRPr="009643E6">
        <w:t xml:space="preserve">, Galena Park, Galveston, Genoa, Glen Flora, Gulf Park, Guy, Hedwig Village, Highlands, Hillcrest Village, </w:t>
      </w:r>
      <w:proofErr w:type="spellStart"/>
      <w:r w:rsidRPr="009643E6">
        <w:t>Hilshire</w:t>
      </w:r>
      <w:proofErr w:type="spellEnd"/>
      <w:r w:rsidRPr="009643E6">
        <w:t xml:space="preserve"> Village, Hitchcock, Hockley, Houston Point, Huffman, </w:t>
      </w:r>
      <w:proofErr w:type="spellStart"/>
      <w:r w:rsidRPr="009643E6">
        <w:t>Huffsmith</w:t>
      </w:r>
      <w:proofErr w:type="spellEnd"/>
      <w:r w:rsidRPr="009643E6">
        <w:t xml:space="preserve">, Humble, Hungerford, Hunters Creek, Iago, Iowa Colony, Jacinto City, Jamaica Beach Village, Jersey Village, Jones Creek, </w:t>
      </w:r>
      <w:proofErr w:type="spellStart"/>
      <w:r w:rsidRPr="009643E6">
        <w:t>Juliff</w:t>
      </w:r>
      <w:proofErr w:type="spellEnd"/>
      <w:r w:rsidRPr="009643E6">
        <w:t xml:space="preserve">, Katy, Kemah, </w:t>
      </w:r>
      <w:proofErr w:type="spellStart"/>
      <w:r w:rsidRPr="009643E6">
        <w:t>Kendleton</w:t>
      </w:r>
      <w:proofErr w:type="spellEnd"/>
      <w:r w:rsidRPr="009643E6">
        <w:t xml:space="preserve">, La Porte, Lake Jackson, Lakewood, Lane City, </w:t>
      </w:r>
      <w:proofErr w:type="spellStart"/>
      <w:r w:rsidRPr="009643E6">
        <w:t>Lissie</w:t>
      </w:r>
      <w:proofErr w:type="spellEnd"/>
      <w:r w:rsidRPr="009643E6">
        <w:t xml:space="preserve">, Liverpool, </w:t>
      </w:r>
      <w:proofErr w:type="spellStart"/>
      <w:r w:rsidRPr="009643E6">
        <w:t>Longpoint</w:t>
      </w:r>
      <w:proofErr w:type="spellEnd"/>
      <w:r w:rsidRPr="009643E6">
        <w:t xml:space="preserve">, Magnet, Magnolia, Manvel, McNair, Meadows, Missouri City, </w:t>
      </w:r>
      <w:proofErr w:type="spellStart"/>
      <w:r w:rsidRPr="009643E6">
        <w:t>Mixville</w:t>
      </w:r>
      <w:proofErr w:type="spellEnd"/>
      <w:r w:rsidRPr="009643E6">
        <w:t xml:space="preserve">, Mont </w:t>
      </w:r>
      <w:proofErr w:type="spellStart"/>
      <w:r w:rsidRPr="009643E6">
        <w:t>Belvieu</w:t>
      </w:r>
      <w:proofErr w:type="spellEnd"/>
      <w:r w:rsidRPr="009643E6">
        <w:t xml:space="preserve">, Moonshine Hill, </w:t>
      </w:r>
      <w:proofErr w:type="spellStart"/>
      <w:r w:rsidRPr="009643E6">
        <w:t>Morgans</w:t>
      </w:r>
      <w:proofErr w:type="spellEnd"/>
      <w:r w:rsidRPr="009643E6">
        <w:t xml:space="preserve"> Point, Nassau Bay, </w:t>
      </w:r>
      <w:proofErr w:type="spellStart"/>
      <w:r w:rsidRPr="009643E6">
        <w:t>Needville</w:t>
      </w:r>
      <w:proofErr w:type="spellEnd"/>
      <w:r w:rsidRPr="009643E6">
        <w:t xml:space="preserve">, </w:t>
      </w:r>
      <w:proofErr w:type="spellStart"/>
      <w:r w:rsidRPr="009643E6">
        <w:t>Newgulf</w:t>
      </w:r>
      <w:proofErr w:type="spellEnd"/>
      <w:r w:rsidRPr="009643E6">
        <w:t>, Oak Ridge North, Old River-</w:t>
      </w:r>
      <w:proofErr w:type="spellStart"/>
      <w:r w:rsidRPr="009643E6">
        <w:t>Winfree</w:t>
      </w:r>
      <w:proofErr w:type="spellEnd"/>
      <w:r w:rsidRPr="009643E6">
        <w:t xml:space="preserve">, Orchard, Oyster Creek, Pasadena, Pattison, Pearland, Peters, Pine Island, Pinehurst, Piney Point Village, </w:t>
      </w:r>
      <w:proofErr w:type="spellStart"/>
      <w:r w:rsidRPr="009643E6">
        <w:t>Pleak</w:t>
      </w:r>
      <w:proofErr w:type="spellEnd"/>
      <w:r w:rsidRPr="009643E6">
        <w:t xml:space="preserve">, Pledger, Prairie View, Quintana, </w:t>
      </w:r>
      <w:proofErr w:type="spellStart"/>
      <w:r w:rsidRPr="009643E6">
        <w:t>Racoon</w:t>
      </w:r>
      <w:proofErr w:type="spellEnd"/>
      <w:r w:rsidRPr="009643E6">
        <w:t xml:space="preserve"> Bend, </w:t>
      </w:r>
      <w:proofErr w:type="spellStart"/>
      <w:r w:rsidRPr="009643E6">
        <w:t>Randon</w:t>
      </w:r>
      <w:proofErr w:type="spellEnd"/>
      <w:r w:rsidRPr="009643E6">
        <w:t xml:space="preserve">, Retrieve, Richmond, Richwood, Rose Hill, Rosenberg, Rosharon, San Felipe, San Leon, Sandy Point, Santa Fe, Satsuma, Seabrook, Sealy, Sheldon, </w:t>
      </w:r>
      <w:proofErr w:type="spellStart"/>
      <w:r w:rsidRPr="009643E6">
        <w:t>Shoreacres</w:t>
      </w:r>
      <w:proofErr w:type="spellEnd"/>
      <w:r w:rsidRPr="009643E6">
        <w:t xml:space="preserve">, Simonton, South Houston, Southside Place, Spanish Camp, Spring, Spring Valley, Stafford, Stagecoach, </w:t>
      </w:r>
      <w:proofErr w:type="spellStart"/>
      <w:r w:rsidRPr="009643E6">
        <w:t>Strang</w:t>
      </w:r>
      <w:proofErr w:type="spellEnd"/>
      <w:r w:rsidRPr="009643E6">
        <w:t xml:space="preserve">, Sugar Land, Surfside Beach Village, </w:t>
      </w:r>
      <w:proofErr w:type="spellStart"/>
      <w:r w:rsidRPr="009643E6">
        <w:t>Tavener</w:t>
      </w:r>
      <w:proofErr w:type="spellEnd"/>
      <w:r w:rsidRPr="009643E6">
        <w:t xml:space="preserve">, Taylor Lake Village, Thompsons, </w:t>
      </w:r>
      <w:proofErr w:type="spellStart"/>
      <w:r w:rsidRPr="009643E6">
        <w:t>Tiki</w:t>
      </w:r>
      <w:proofErr w:type="spellEnd"/>
      <w:r w:rsidRPr="009643E6">
        <w:t xml:space="preserve"> Island, Tomball, Virginia Point, Waller, Wallis, Webster, West University Place, Westfield, Weston Lakes, and Wharton.</w:t>
      </w:r>
    </w:p>
  </w:footnote>
  <w:footnote w:id="119">
    <w:p w:rsidR="00AD1390" w:rsidRDefault="00AD1390" w:rsidP="007D7D99">
      <w:pPr>
        <w:pStyle w:val="FootnoteText"/>
        <w:ind w:firstLine="720"/>
        <w:jc w:val="both"/>
      </w:pPr>
      <w:r>
        <w:rPr>
          <w:rStyle w:val="FootnoteReference"/>
        </w:rPr>
        <w:footnoteRef/>
      </w:r>
      <w:r>
        <w:t xml:space="preserve"> Gulf Coast Coalition of Cities (39 members), Texas Coalition of Utility Companies (9 members), and City of Houston.  Member counts do not reflect members added after Motions to Intervene were filed.</w:t>
      </w:r>
    </w:p>
  </w:footnote>
  <w:footnote w:id="120">
    <w:p w:rsidR="00AD1390" w:rsidRDefault="00AD1390" w:rsidP="007D7D99">
      <w:pPr>
        <w:pStyle w:val="FootnoteText"/>
        <w:ind w:firstLine="720"/>
        <w:jc w:val="both"/>
      </w:pPr>
      <w:r>
        <w:rPr>
          <w:rStyle w:val="FootnoteReference"/>
        </w:rPr>
        <w:footnoteRef/>
      </w:r>
      <w:r>
        <w:t xml:space="preserve"> CenterPoint’s Responses to Commission Staff’s Ninth Set of Requests for Information, at Response No. PUC09-04 (May 28, 2019):  Q. Please provide an analysis comparing the all-in costs of CEHE's services to a lighting customer with a non-LED installation versus an equivalent LED installation ... A. </w:t>
      </w:r>
      <w:r w:rsidRPr="00F321A5">
        <w:t>An analysis comparing the all-in cost of a non-LED installation to an equivalent LED installation does not exist</w:t>
      </w:r>
      <w:r>
        <w:t>…</w:t>
      </w:r>
    </w:p>
  </w:footnote>
  <w:footnote w:id="121">
    <w:p w:rsidR="00AD1390" w:rsidRDefault="00AD1390" w:rsidP="007D7D99">
      <w:pPr>
        <w:pStyle w:val="FootnoteText"/>
        <w:ind w:firstLine="720"/>
        <w:jc w:val="both"/>
      </w:pPr>
      <w:r>
        <w:rPr>
          <w:rStyle w:val="FootnoteReference"/>
        </w:rPr>
        <w:footnoteRef/>
      </w:r>
      <w:r>
        <w:t xml:space="preserve"> </w:t>
      </w:r>
      <w:r w:rsidRPr="006337E6">
        <w:rPr>
          <w:i/>
        </w:rPr>
        <w:t>See</w:t>
      </w:r>
      <w:r>
        <w:t>, e.g., CenterPoint’s responses to Commission Staff’s Third Set of Requests for Information at Confidential Response No. PUC03-10, worksheet “Recovery Revenues,” at Microsoft Excel row 60 (May 8, 2019).</w:t>
      </w:r>
    </w:p>
  </w:footnote>
  <w:footnote w:id="122">
    <w:p w:rsidR="00AD1390" w:rsidRDefault="00AD1390" w:rsidP="007D7D99">
      <w:pPr>
        <w:pStyle w:val="FootnoteText"/>
        <w:ind w:firstLine="720"/>
        <w:jc w:val="both"/>
      </w:pPr>
      <w:r>
        <w:rPr>
          <w:rStyle w:val="FootnoteReference"/>
        </w:rPr>
        <w:footnoteRef/>
      </w:r>
      <w:r>
        <w:t xml:space="preserve"> </w:t>
      </w:r>
      <w:r w:rsidRPr="009738F2">
        <w:rPr>
          <w:i/>
        </w:rPr>
        <w:t>Id.</w:t>
      </w:r>
      <w:r>
        <w:t>, worksheet “LED DCF with Recovery,” at Microsoft Excel row 23: “Avoided HPS O&amp;M.”</w:t>
      </w:r>
    </w:p>
  </w:footnote>
  <w:footnote w:id="123">
    <w:p w:rsidR="00AD1390" w:rsidRDefault="00AD1390" w:rsidP="007D7D99">
      <w:pPr>
        <w:pStyle w:val="FootnoteText"/>
        <w:ind w:firstLine="720"/>
        <w:jc w:val="both"/>
      </w:pPr>
      <w:r>
        <w:rPr>
          <w:rStyle w:val="FootnoteReference"/>
        </w:rPr>
        <w:footnoteRef/>
      </w:r>
      <w:r>
        <w:t xml:space="preserve"> Regulatory lag is part of ratemaking under PURA.  When a utility achieves cost efficiencies between rate cases, regulatory lag benefits shareholders.  </w:t>
      </w:r>
    </w:p>
  </w:footnote>
  <w:footnote w:id="124">
    <w:p w:rsidR="00AD1390" w:rsidRDefault="00AD1390" w:rsidP="007D7D99">
      <w:pPr>
        <w:pStyle w:val="FootnoteText"/>
        <w:ind w:firstLine="720"/>
        <w:jc w:val="both"/>
      </w:pPr>
      <w:r>
        <w:rPr>
          <w:rStyle w:val="FootnoteReference"/>
        </w:rPr>
        <w:footnoteRef/>
      </w:r>
      <w:r>
        <w:t xml:space="preserve"> CenterPoint’s responses to Commission Staff’s Third Set of Requests for Information, Confidential Response No. PUC03-10, worksheet “Summary,” at Microsoft Excel cell B40 (May 8, 2019).</w:t>
      </w:r>
    </w:p>
  </w:footnote>
  <w:footnote w:id="125">
    <w:p w:rsidR="00AD1390" w:rsidRDefault="00AD1390" w:rsidP="007D7D99">
      <w:pPr>
        <w:pStyle w:val="FootnoteText"/>
        <w:ind w:firstLine="720"/>
        <w:jc w:val="both"/>
      </w:pPr>
      <w:r>
        <w:rPr>
          <w:rStyle w:val="FootnoteReference"/>
        </w:rPr>
        <w:footnoteRef/>
      </w:r>
      <w:r>
        <w:t xml:space="preserve"> </w:t>
      </w:r>
      <w:r w:rsidRPr="00E308F4">
        <w:rPr>
          <w:i/>
        </w:rPr>
        <w:t>Id.</w:t>
      </w:r>
      <w:r>
        <w:t>, at worksheet LED DCF w Recovery at Microsoft Excel cell Q45, Cumulative PV of Cash Flows.</w:t>
      </w:r>
    </w:p>
  </w:footnote>
  <w:footnote w:id="126">
    <w:p w:rsidR="00AD1390" w:rsidRDefault="00AD1390" w:rsidP="007D7D99">
      <w:pPr>
        <w:pStyle w:val="FootnoteText"/>
        <w:ind w:firstLine="720"/>
        <w:jc w:val="both"/>
      </w:pPr>
      <w:r>
        <w:rPr>
          <w:rStyle w:val="FootnoteReference"/>
        </w:rPr>
        <w:footnoteRef/>
      </w:r>
      <w:r>
        <w:t xml:space="preserve"> Customers included United States Army Corps of Engineers and Brown and Root.</w:t>
      </w:r>
    </w:p>
  </w:footnote>
  <w:footnote w:id="127">
    <w:p w:rsidR="00AD1390" w:rsidRDefault="00AD1390" w:rsidP="007D7D99">
      <w:pPr>
        <w:pStyle w:val="FootnoteText"/>
        <w:ind w:firstLine="720"/>
        <w:jc w:val="both"/>
      </w:pPr>
      <w:r>
        <w:rPr>
          <w:rStyle w:val="FootnoteReference"/>
        </w:rPr>
        <w:footnoteRef/>
      </w:r>
      <w:r>
        <w:t xml:space="preserve"> CenterPoint’s responses to Commission Staff’s Third Set of Requests for Information at Confidential Response No. PUC03-10, worksheet “Assumptions,” Microsoft Excel cell C50 (May 8, 2019).</w:t>
      </w:r>
    </w:p>
  </w:footnote>
  <w:footnote w:id="128">
    <w:p w:rsidR="00AD1390" w:rsidRDefault="00AD1390" w:rsidP="007D7D99">
      <w:pPr>
        <w:pStyle w:val="FootnoteText"/>
        <w:ind w:firstLine="720"/>
        <w:jc w:val="both"/>
      </w:pPr>
      <w:r>
        <w:rPr>
          <w:rStyle w:val="FootnoteReference"/>
        </w:rPr>
        <w:footnoteRef/>
      </w:r>
      <w:r>
        <w:t xml:space="preserve"> </w:t>
      </w:r>
      <w:r w:rsidRPr="002640AC">
        <w:rPr>
          <w:i/>
        </w:rPr>
        <w:t>Id.</w:t>
      </w:r>
      <w:r>
        <w:t>, at cell C51.</w:t>
      </w:r>
    </w:p>
  </w:footnote>
  <w:footnote w:id="129">
    <w:p w:rsidR="00AD1390" w:rsidRDefault="00AD1390" w:rsidP="007D7D99">
      <w:pPr>
        <w:pStyle w:val="FootnoteText"/>
        <w:ind w:firstLine="720"/>
        <w:jc w:val="both"/>
      </w:pPr>
      <w:r>
        <w:rPr>
          <w:rStyle w:val="FootnoteReference"/>
        </w:rPr>
        <w:footnoteRef/>
      </w:r>
      <w:r>
        <w:t xml:space="preserve"> CenterPoint’s responses to Commission Staff’s Third Set of Requests for Information at Confidential Response No. PUC03-10, worksheet “Assumptions,” Microsoft Excel cells C53-C66:  Sum cells C53-C65 and add seven-tenths of cell C66 </w:t>
      </w:r>
      <w:r w:rsidRPr="006D0098">
        <w:t xml:space="preserve">= </w:t>
      </w:r>
      <w:proofErr w:type="spellStart"/>
      <w:r w:rsidRPr="00B450DA">
        <w:rPr>
          <w:highlight w:val="black"/>
        </w:rPr>
        <w:t>xxxxx</w:t>
      </w:r>
      <w:proofErr w:type="spellEnd"/>
      <w:r w:rsidRPr="006D0098">
        <w:t>.</w:t>
      </w:r>
    </w:p>
  </w:footnote>
  <w:footnote w:id="130">
    <w:p w:rsidR="00AD1390" w:rsidRDefault="00AD1390" w:rsidP="007D7D99">
      <w:pPr>
        <w:pStyle w:val="FootnoteText"/>
        <w:ind w:firstLine="720"/>
        <w:jc w:val="both"/>
      </w:pPr>
      <w:r>
        <w:rPr>
          <w:rStyle w:val="FootnoteReference"/>
        </w:rPr>
        <w:footnoteRef/>
      </w:r>
      <w:r>
        <w:t xml:space="preserve"> Direct Testimony of Matthew A. </w:t>
      </w:r>
      <w:proofErr w:type="spellStart"/>
      <w:r>
        <w:t>Troxle</w:t>
      </w:r>
      <w:proofErr w:type="spellEnd"/>
      <w:r>
        <w:t xml:space="preserve"> at 45.</w:t>
      </w:r>
    </w:p>
  </w:footnote>
  <w:footnote w:id="131">
    <w:p w:rsidR="00AD1390" w:rsidRDefault="00AD1390" w:rsidP="007D7D99">
      <w:pPr>
        <w:pStyle w:val="FootnoteText"/>
        <w:ind w:firstLine="720"/>
        <w:jc w:val="both"/>
      </w:pPr>
      <w:r>
        <w:rPr>
          <w:rStyle w:val="FootnoteReference"/>
        </w:rPr>
        <w:footnoteRef/>
      </w:r>
      <w:r>
        <w:t xml:space="preserve"> </w:t>
      </w:r>
      <w:r w:rsidRPr="00445FAB">
        <w:rPr>
          <w:i/>
        </w:rPr>
        <w:t>See</w:t>
      </w:r>
      <w:r>
        <w:t xml:space="preserve"> Direct Testimony of Matthew A. </w:t>
      </w:r>
      <w:proofErr w:type="spellStart"/>
      <w:r>
        <w:t>Troxle</w:t>
      </w:r>
      <w:proofErr w:type="spellEnd"/>
      <w:r>
        <w:t xml:space="preserve"> at 2.  The full amount under Rider UEDIT is credited to retail delivery cost of service.</w:t>
      </w:r>
    </w:p>
  </w:footnote>
  <w:footnote w:id="132">
    <w:p w:rsidR="00AD1390" w:rsidRDefault="00AD1390" w:rsidP="007D7D99">
      <w:pPr>
        <w:pStyle w:val="FootnoteText"/>
        <w:ind w:firstLine="720"/>
        <w:jc w:val="both"/>
      </w:pPr>
      <w:r>
        <w:rPr>
          <w:rStyle w:val="FootnoteReference"/>
        </w:rPr>
        <w:footnoteRef/>
      </w:r>
      <w:r>
        <w:t xml:space="preserve"> Direct Testimony of Charles W. Pringle at 2.  </w:t>
      </w:r>
    </w:p>
  </w:footnote>
  <w:footnote w:id="133">
    <w:p w:rsidR="00AD1390" w:rsidRDefault="00AD1390" w:rsidP="007D7D99">
      <w:pPr>
        <w:pStyle w:val="FootnoteText"/>
        <w:ind w:firstLine="720"/>
        <w:jc w:val="both"/>
      </w:pPr>
      <w:r>
        <w:rPr>
          <w:rStyle w:val="FootnoteReference"/>
        </w:rPr>
        <w:footnoteRef/>
      </w:r>
      <w:r>
        <w:t xml:space="preserve"> Direct Testimony of Karl J. </w:t>
      </w:r>
      <w:proofErr w:type="spellStart"/>
      <w:r>
        <w:t>Nalepa</w:t>
      </w:r>
      <w:proofErr w:type="spellEnd"/>
      <w:r>
        <w:t xml:space="preserve"> (June 6, 2019).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D1390" w:rsidRDefault="00AD139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rsidP="009476C6">
    <w:pPr>
      <w:pStyle w:val="Header"/>
      <w:pBdr>
        <w:bottom w:val="single" w:sz="4" w:space="0" w:color="auto"/>
      </w:pBdr>
      <w:tabs>
        <w:tab w:val="clear" w:pos="4320"/>
        <w:tab w:val="clear" w:pos="8640"/>
      </w:tabs>
      <w:rPr>
        <w:rStyle w:val="PageNumber"/>
      </w:rPr>
    </w:pPr>
    <w:r>
      <w:rPr>
        <w:snapToGrid w:val="0"/>
      </w:rPr>
      <w:t>SOAH Docket No. 473</w:t>
    </w:r>
    <w:r>
      <w:rPr>
        <w:rStyle w:val="PageNumber"/>
      </w:rPr>
      <w:t>-19-3864</w:t>
    </w:r>
    <w:r>
      <w:rPr>
        <w:rStyle w:val="PageNumber"/>
      </w:rPr>
      <w:tab/>
      <w:t xml:space="preserve">                        </w:t>
    </w:r>
    <w:r>
      <w:rPr>
        <w:rStyle w:val="PageNumber"/>
      </w:rPr>
      <w:tab/>
    </w:r>
    <w:r>
      <w:rPr>
        <w:rStyle w:val="PageNumber"/>
      </w:rPr>
      <w:tab/>
    </w:r>
    <w:r>
      <w:rPr>
        <w:rStyle w:val="PageNumber"/>
      </w:rPr>
      <w:tab/>
    </w:r>
    <w:r>
      <w:rPr>
        <w:rStyle w:val="PageNumber"/>
      </w:rPr>
      <w:tab/>
      <w:t xml:space="preserve">           Attachment BTM-6</w:t>
    </w:r>
  </w:p>
  <w:p w:rsidR="00AD1390" w:rsidRPr="009476C6" w:rsidRDefault="00AD1390" w:rsidP="009476C6">
    <w:pPr>
      <w:pStyle w:val="Header"/>
      <w:pBdr>
        <w:bottom w:val="single" w:sz="4" w:space="0" w:color="auto"/>
      </w:pBdr>
      <w:tabs>
        <w:tab w:val="clear" w:pos="4320"/>
        <w:tab w:val="clear" w:pos="8640"/>
      </w:tabs>
      <w:rPr>
        <w:snapToGrid w:val="0"/>
      </w:rPr>
    </w:pPr>
    <w:r>
      <w:rPr>
        <w:rStyle w:val="PageNumber"/>
      </w:rPr>
      <w:t>P.U.C Docket No. 49421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D72CC7">
      <w:rPr>
        <w:noProof/>
        <w:snapToGrid w:val="0"/>
      </w:rPr>
      <w:t>1</w:t>
    </w:r>
    <w:r w:rsidRPr="00A34F36">
      <w:rPr>
        <w:noProof/>
        <w:snapToGrid w:val="0"/>
      </w:rPr>
      <w:fldChar w:fldCharType="end"/>
    </w:r>
    <w:r>
      <w:rPr>
        <w:rStyle w:val="PageNumber"/>
      </w:rPr>
      <w:tab/>
    </w:r>
    <w:r>
      <w:tab/>
    </w: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Pr="009476C6" w:rsidRDefault="00AD1390" w:rsidP="009476C6">
    <w:pPr>
      <w:pStyle w:val="Header"/>
      <w:pBdr>
        <w:bottom w:val="single" w:sz="4" w:space="0" w:color="auto"/>
      </w:pBdr>
      <w:tabs>
        <w:tab w:val="clear" w:pos="4320"/>
        <w:tab w:val="clear" w:pos="8640"/>
      </w:tabs>
      <w:rPr>
        <w:snapToGrid w:val="0"/>
      </w:rPr>
    </w:pPr>
    <w:r>
      <w:rPr>
        <w:snapToGrid w:val="0"/>
      </w:rPr>
      <w:t>SOAH Docket No. 473</w:t>
    </w:r>
    <w:r>
      <w:rPr>
        <w:rStyle w:val="PageNumber"/>
      </w:rPr>
      <w:t>-19-3864</w:t>
    </w:r>
    <w:r>
      <w:rPr>
        <w:rStyle w:val="PageNumber"/>
      </w:rPr>
      <w:tab/>
      <w:t xml:space="preserve">                        </w:t>
    </w:r>
    <w:r>
      <w:rPr>
        <w:rStyle w:val="PageNumber"/>
      </w:rPr>
      <w:tab/>
    </w:r>
    <w:r>
      <w:rPr>
        <w:rStyle w:val="PageNumber"/>
      </w:rPr>
      <w:tab/>
    </w:r>
    <w:r>
      <w:rPr>
        <w:rStyle w:val="PageNumber"/>
      </w:rPr>
      <w:tab/>
    </w:r>
    <w:r>
      <w:rPr>
        <w:rStyle w:val="PageNumber"/>
      </w:rPr>
      <w:tab/>
      <w:t xml:space="preserve">           Attachment BTM-7 P.U.C Docket No. 49421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D72CC7">
      <w:rPr>
        <w:noProof/>
        <w:snapToGrid w:val="0"/>
      </w:rPr>
      <w:t>1</w:t>
    </w:r>
    <w:r w:rsidRPr="00A34F36">
      <w:rPr>
        <w:noProof/>
        <w:snapToGrid w:val="0"/>
      </w:rPr>
      <w:fldChar w:fldCharType="end"/>
    </w:r>
    <w:r>
      <w:rPr>
        <w:rStyle w:val="PageNumber"/>
      </w:rP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rsidP="00A712D2">
    <w:pPr>
      <w:pStyle w:val="Header"/>
      <w:pBdr>
        <w:bottom w:val="single" w:sz="4" w:space="0" w:color="auto"/>
      </w:pBdr>
      <w:tabs>
        <w:tab w:val="clear" w:pos="4320"/>
        <w:tab w:val="clear" w:pos="8640"/>
      </w:tabs>
      <w:rPr>
        <w:rStyle w:val="PageNumber"/>
      </w:rPr>
    </w:pPr>
    <w:r>
      <w:rPr>
        <w:snapToGrid w:val="0"/>
      </w:rPr>
      <w:t>SOAH Docket No. 473</w:t>
    </w:r>
    <w:r>
      <w:rPr>
        <w:rStyle w:val="PageNumber"/>
      </w:rPr>
      <w:t>-19-3864</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
  <w:p w:rsidR="00AD1390" w:rsidRDefault="00AD1390" w:rsidP="00556F14">
    <w:pPr>
      <w:pStyle w:val="Header"/>
      <w:pBdr>
        <w:bottom w:val="single" w:sz="4" w:space="0" w:color="auto"/>
      </w:pBdr>
      <w:tabs>
        <w:tab w:val="clear" w:pos="4320"/>
        <w:tab w:val="clear" w:pos="8640"/>
      </w:tabs>
      <w:rPr>
        <w:snapToGrid w:val="0"/>
      </w:rPr>
    </w:pPr>
    <w:r>
      <w:rPr>
        <w:rStyle w:val="PageNumber"/>
      </w:rPr>
      <w:t>P.U.C. Docket No. 49421</w:t>
    </w:r>
    <w: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snapToGrid w:val="0"/>
      </w:rPr>
      <w:tab/>
      <w:t xml:space="preserve">Page </w:t>
    </w:r>
    <w:r>
      <w:rPr>
        <w:rStyle w:val="PageNumber"/>
      </w:rPr>
      <w:fldChar w:fldCharType="begin"/>
    </w:r>
    <w:r>
      <w:rPr>
        <w:rStyle w:val="PageNumber"/>
      </w:rPr>
      <w:instrText xml:space="preserve"> PAGE </w:instrText>
    </w:r>
    <w:r>
      <w:rPr>
        <w:rStyle w:val="PageNumber"/>
      </w:rPr>
      <w:fldChar w:fldCharType="separate"/>
    </w:r>
    <w:r w:rsidR="00D72CC7">
      <w:rPr>
        <w:rStyle w:val="PageNumber"/>
        <w:noProof/>
      </w:rPr>
      <w:t>74</w:t>
    </w:r>
    <w:r>
      <w:rPr>
        <w:rStyle w:val="PageNumber"/>
      </w:rPr>
      <w:fldChar w:fldCharType="end"/>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pPr>
      <w:pStyle w:val="Header"/>
      <w:framePr w:wrap="around" w:vAnchor="text" w:hAnchor="margin" w:xAlign="center" w:y="1"/>
      <w:rPr>
        <w:rStyle w:val="PageNumber"/>
      </w:rPr>
    </w:pPr>
  </w:p>
  <w:p w:rsidR="00AD1390" w:rsidRDefault="00AD1390" w:rsidP="008E4CF0">
    <w:pPr>
      <w:pStyle w:val="Header"/>
      <w:pBdr>
        <w:bottom w:val="single" w:sz="4" w:space="0" w:color="auto"/>
      </w:pBdr>
      <w:tabs>
        <w:tab w:val="clear" w:pos="4320"/>
        <w:tab w:val="clear" w:pos="8640"/>
      </w:tabs>
      <w:rPr>
        <w:rStyle w:val="PageNumber"/>
      </w:rPr>
    </w:pPr>
    <w:r>
      <w:rPr>
        <w:snapToGrid w:val="0"/>
      </w:rPr>
      <w:t>SOAH Docket No. 473</w:t>
    </w:r>
    <w:r>
      <w:rPr>
        <w:rStyle w:val="PageNumber"/>
      </w:rPr>
      <w:t>-19-3864</w:t>
    </w:r>
    <w:r>
      <w:rPr>
        <w:rStyle w:val="PageNumber"/>
      </w:rPr>
      <w:tab/>
      <w:t xml:space="preserve">                        </w:t>
    </w:r>
    <w:r>
      <w:rPr>
        <w:rStyle w:val="PageNumber"/>
      </w:rPr>
      <w:tab/>
    </w:r>
    <w:r>
      <w:rPr>
        <w:rStyle w:val="PageNumber"/>
      </w:rPr>
      <w:tab/>
    </w:r>
    <w:r>
      <w:rPr>
        <w:rStyle w:val="PageNumber"/>
      </w:rPr>
      <w:tab/>
      <w:t xml:space="preserve">       Attachment BTM-1</w:t>
    </w:r>
  </w:p>
  <w:p w:rsidR="00AD1390" w:rsidRPr="008E4CF0" w:rsidRDefault="00AD1390" w:rsidP="008E4CF0">
    <w:pPr>
      <w:pStyle w:val="Header"/>
      <w:pBdr>
        <w:bottom w:val="single" w:sz="4" w:space="0" w:color="auto"/>
      </w:pBdr>
      <w:tabs>
        <w:tab w:val="clear" w:pos="4320"/>
        <w:tab w:val="center" w:pos="8100"/>
      </w:tabs>
      <w:jc w:val="right"/>
      <w:rPr>
        <w:snapToGrid w:val="0"/>
      </w:rPr>
    </w:pPr>
    <w:r>
      <w:rPr>
        <w:rStyle w:val="PageNumber"/>
      </w:rPr>
      <w:t>P.U.C Docket No. 49421</w:t>
    </w:r>
    <w:r>
      <w:rPr>
        <w:snapToGrid w:val="0"/>
      </w:rPr>
      <w:t xml:space="preserve"> </w:t>
    </w:r>
    <w:r>
      <w:rPr>
        <w:snapToGrid w:val="0"/>
      </w:rPr>
      <w:tab/>
      <w:t xml:space="preserve">Page </w:t>
    </w:r>
    <w:r w:rsidRPr="008E4CF0">
      <w:rPr>
        <w:snapToGrid w:val="0"/>
      </w:rPr>
      <w:fldChar w:fldCharType="begin"/>
    </w:r>
    <w:r w:rsidRPr="008E4CF0">
      <w:rPr>
        <w:snapToGrid w:val="0"/>
      </w:rPr>
      <w:instrText xml:space="preserve"> PAGE   \* MERGEFORMAT </w:instrText>
    </w:r>
    <w:r w:rsidRPr="008E4CF0">
      <w:rPr>
        <w:snapToGrid w:val="0"/>
      </w:rPr>
      <w:fldChar w:fldCharType="separate"/>
    </w:r>
    <w:r w:rsidR="00D72CC7">
      <w:rPr>
        <w:noProof/>
        <w:snapToGrid w:val="0"/>
      </w:rPr>
      <w:t>5</w:t>
    </w:r>
    <w:r w:rsidRPr="008E4CF0">
      <w:rPr>
        <w:noProof/>
        <w:snapToGrid w:val="0"/>
      </w:rPr>
      <w:fldChar w:fldCharType="end"/>
    </w:r>
    <w:r>
      <w:rPr>
        <w:snapToGrid w:val="0"/>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rsidP="009476C6">
    <w:pPr>
      <w:pStyle w:val="Header"/>
      <w:pBdr>
        <w:bottom w:val="single" w:sz="4" w:space="0" w:color="auto"/>
      </w:pBdr>
      <w:tabs>
        <w:tab w:val="clear" w:pos="4320"/>
        <w:tab w:val="clear" w:pos="8640"/>
      </w:tabs>
      <w:rPr>
        <w:rStyle w:val="PageNumber"/>
      </w:rPr>
    </w:pPr>
    <w:r>
      <w:rPr>
        <w:snapToGrid w:val="0"/>
      </w:rPr>
      <w:t>SOAH Docket No. 473</w:t>
    </w:r>
    <w:r>
      <w:rPr>
        <w:rStyle w:val="PageNumber"/>
      </w:rPr>
      <w:t>-19-3864</w:t>
    </w:r>
    <w:r>
      <w:rPr>
        <w:rStyle w:val="PageNumber"/>
      </w:rPr>
      <w:tab/>
      <w:t xml:space="preserve">                        </w:t>
    </w:r>
    <w:r>
      <w:rPr>
        <w:rStyle w:val="PageNumber"/>
      </w:rPr>
      <w:tab/>
    </w:r>
    <w:r>
      <w:rPr>
        <w:rStyle w:val="PageNumber"/>
      </w:rPr>
      <w:tab/>
    </w:r>
    <w:r>
      <w:rPr>
        <w:rStyle w:val="PageNumber"/>
      </w:rPr>
      <w:tab/>
    </w:r>
    <w:r>
      <w:rPr>
        <w:rStyle w:val="PageNumber"/>
      </w:rPr>
      <w:tab/>
      <w:t xml:space="preserve">           Attachment BTM-2</w:t>
    </w:r>
  </w:p>
  <w:p w:rsidR="00AD1390" w:rsidRPr="009476C6" w:rsidRDefault="00AD1390" w:rsidP="009476C6">
    <w:pPr>
      <w:pStyle w:val="Header"/>
      <w:pBdr>
        <w:bottom w:val="single" w:sz="4" w:space="0" w:color="auto"/>
      </w:pBdr>
      <w:tabs>
        <w:tab w:val="clear" w:pos="4320"/>
        <w:tab w:val="clear" w:pos="8640"/>
      </w:tabs>
      <w:rPr>
        <w:snapToGrid w:val="0"/>
      </w:rPr>
    </w:pPr>
    <w:r>
      <w:rPr>
        <w:rStyle w:val="PageNumber"/>
      </w:rPr>
      <w:t>P.U.C Docket No. 49421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D72CC7">
      <w:rPr>
        <w:noProof/>
        <w:snapToGrid w:val="0"/>
      </w:rPr>
      <w:t>1</w:t>
    </w:r>
    <w:r w:rsidRPr="00A34F36">
      <w:rPr>
        <w:noProof/>
        <w:snapToGrid w:val="0"/>
      </w:rPr>
      <w:fldChar w:fldCharType="end"/>
    </w:r>
    <w:r>
      <w:rPr>
        <w:rStyle w:val="PageNumber"/>
      </w:rPr>
      <w:tab/>
    </w:r>
    <w:r>
      <w:tab/>
    </w: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rsidP="009476C6">
    <w:pPr>
      <w:pStyle w:val="Header"/>
      <w:pBdr>
        <w:bottom w:val="single" w:sz="4" w:space="0" w:color="auto"/>
      </w:pBdr>
      <w:tabs>
        <w:tab w:val="clear" w:pos="4320"/>
        <w:tab w:val="clear" w:pos="8640"/>
      </w:tabs>
      <w:rPr>
        <w:rStyle w:val="PageNumber"/>
      </w:rPr>
    </w:pPr>
    <w:r>
      <w:rPr>
        <w:snapToGrid w:val="0"/>
      </w:rPr>
      <w:t>SOAH Docket No. 473</w:t>
    </w:r>
    <w:r>
      <w:rPr>
        <w:rStyle w:val="PageNumber"/>
      </w:rPr>
      <w:t>-19-3864</w:t>
    </w:r>
    <w:r>
      <w:rPr>
        <w:rStyle w:val="PageNumber"/>
      </w:rPr>
      <w:tab/>
      <w:t xml:space="preserve">                        </w:t>
    </w:r>
    <w:r>
      <w:rPr>
        <w:rStyle w:val="PageNumber"/>
      </w:rPr>
      <w:tab/>
    </w:r>
    <w:r>
      <w:rPr>
        <w:rStyle w:val="PageNumber"/>
      </w:rPr>
      <w:tab/>
    </w:r>
    <w:r>
      <w:rPr>
        <w:rStyle w:val="PageNumber"/>
      </w:rPr>
      <w:tab/>
    </w:r>
    <w:r>
      <w:rPr>
        <w:rStyle w:val="PageNumber"/>
      </w:rPr>
      <w:tab/>
      <w:t xml:space="preserve">           Attachment BTM-3</w:t>
    </w:r>
  </w:p>
  <w:p w:rsidR="00AD1390" w:rsidRPr="009476C6" w:rsidRDefault="00AD1390" w:rsidP="009476C6">
    <w:pPr>
      <w:pStyle w:val="Header"/>
      <w:pBdr>
        <w:bottom w:val="single" w:sz="4" w:space="0" w:color="auto"/>
      </w:pBdr>
      <w:tabs>
        <w:tab w:val="clear" w:pos="4320"/>
        <w:tab w:val="clear" w:pos="8640"/>
      </w:tabs>
      <w:rPr>
        <w:snapToGrid w:val="0"/>
      </w:rPr>
    </w:pPr>
    <w:r>
      <w:rPr>
        <w:rStyle w:val="PageNumber"/>
      </w:rPr>
      <w:t>P.U.C Docket No. 49421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D72CC7">
      <w:rPr>
        <w:noProof/>
        <w:snapToGrid w:val="0"/>
      </w:rPr>
      <w:t>2</w:t>
    </w:r>
    <w:r w:rsidRPr="00A34F36">
      <w:rPr>
        <w:noProof/>
        <w:snapToGrid w:val="0"/>
      </w:rPr>
      <w:fldChar w:fldCharType="end"/>
    </w:r>
    <w:r>
      <w:rPr>
        <w:rStyle w:val="PageNumber"/>
      </w:rPr>
      <w:tab/>
    </w:r>
    <w:r>
      <w:tab/>
    </w: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rsidP="009476C6">
    <w:pPr>
      <w:pStyle w:val="Header"/>
      <w:pBdr>
        <w:bottom w:val="single" w:sz="4" w:space="0" w:color="auto"/>
      </w:pBdr>
      <w:tabs>
        <w:tab w:val="clear" w:pos="4320"/>
        <w:tab w:val="clear" w:pos="8640"/>
      </w:tabs>
      <w:rPr>
        <w:rStyle w:val="PageNumber"/>
      </w:rPr>
    </w:pPr>
    <w:r>
      <w:rPr>
        <w:snapToGrid w:val="0"/>
      </w:rPr>
      <w:t>SOAH Docket No. 473</w:t>
    </w:r>
    <w:r>
      <w:rPr>
        <w:rStyle w:val="PageNumber"/>
      </w:rPr>
      <w:t>-19-3864</w:t>
    </w:r>
    <w:r>
      <w:rPr>
        <w:rStyle w:val="PageNumber"/>
      </w:rPr>
      <w:tab/>
      <w:t xml:space="preserve">                        </w:t>
    </w:r>
    <w:r>
      <w:rPr>
        <w:rStyle w:val="PageNumber"/>
      </w:rPr>
      <w:tab/>
    </w:r>
    <w:r>
      <w:rPr>
        <w:rStyle w:val="PageNumber"/>
      </w:rPr>
      <w:tab/>
    </w:r>
    <w:r>
      <w:rPr>
        <w:rStyle w:val="PageNumber"/>
      </w:rPr>
      <w:tab/>
    </w:r>
    <w:r>
      <w:rPr>
        <w:rStyle w:val="PageNumber"/>
      </w:rPr>
      <w:tab/>
      <w:t xml:space="preserve">           Attachment BTM-4</w:t>
    </w:r>
  </w:p>
  <w:p w:rsidR="00AD1390" w:rsidRPr="009476C6" w:rsidRDefault="00AD1390" w:rsidP="009476C6">
    <w:pPr>
      <w:pStyle w:val="Header"/>
      <w:pBdr>
        <w:bottom w:val="single" w:sz="4" w:space="0" w:color="auto"/>
      </w:pBdr>
      <w:tabs>
        <w:tab w:val="clear" w:pos="4320"/>
        <w:tab w:val="clear" w:pos="8640"/>
      </w:tabs>
      <w:rPr>
        <w:snapToGrid w:val="0"/>
      </w:rPr>
    </w:pPr>
    <w:r>
      <w:rPr>
        <w:rStyle w:val="PageNumber"/>
      </w:rPr>
      <w:t>P.U.C Docket No. 49421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D72CC7">
      <w:rPr>
        <w:noProof/>
        <w:snapToGrid w:val="0"/>
      </w:rPr>
      <w:t>1</w:t>
    </w:r>
    <w:r w:rsidRPr="00A34F36">
      <w:rPr>
        <w:noProof/>
        <w:snapToGrid w:val="0"/>
      </w:rPr>
      <w:fldChar w:fldCharType="end"/>
    </w:r>
    <w:r>
      <w:rPr>
        <w:rStyle w:val="PageNumber"/>
      </w:rPr>
      <w:tab/>
    </w:r>
    <w:r>
      <w:tab/>
    </w: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390" w:rsidRDefault="00AD1390" w:rsidP="009476C6">
    <w:pPr>
      <w:pStyle w:val="Header"/>
      <w:pBdr>
        <w:bottom w:val="single" w:sz="4" w:space="0" w:color="auto"/>
      </w:pBdr>
      <w:tabs>
        <w:tab w:val="clear" w:pos="4320"/>
        <w:tab w:val="clear" w:pos="8640"/>
      </w:tabs>
      <w:rPr>
        <w:rStyle w:val="PageNumber"/>
      </w:rPr>
    </w:pPr>
    <w:r>
      <w:rPr>
        <w:snapToGrid w:val="0"/>
      </w:rPr>
      <w:t>SOAH Docket No. 473</w:t>
    </w:r>
    <w:r>
      <w:rPr>
        <w:rStyle w:val="PageNumber"/>
      </w:rPr>
      <w:t xml:space="preserve">-19-3864                        </w:t>
    </w:r>
    <w:r>
      <w:rPr>
        <w:rStyle w:val="PageNumber"/>
      </w:rPr>
      <w:tab/>
    </w:r>
    <w:r>
      <w:rPr>
        <w:rStyle w:val="PageNumber"/>
      </w:rPr>
      <w:tab/>
    </w:r>
    <w:r>
      <w:rPr>
        <w:rStyle w:val="PageNumber"/>
      </w:rPr>
      <w:tab/>
    </w:r>
    <w:r>
      <w:rPr>
        <w:rStyle w:val="PageNumber"/>
      </w:rPr>
      <w:tab/>
      <w:t xml:space="preserve">           Attachment BTM-5</w:t>
    </w:r>
  </w:p>
  <w:p w:rsidR="00AD1390" w:rsidRPr="009476C6" w:rsidRDefault="00AD1390" w:rsidP="009476C6">
    <w:pPr>
      <w:pStyle w:val="Header"/>
      <w:pBdr>
        <w:bottom w:val="single" w:sz="4" w:space="0" w:color="auto"/>
      </w:pBdr>
      <w:tabs>
        <w:tab w:val="clear" w:pos="4320"/>
        <w:tab w:val="clear" w:pos="8640"/>
      </w:tabs>
      <w:rPr>
        <w:snapToGrid w:val="0"/>
      </w:rPr>
    </w:pPr>
    <w:r>
      <w:rPr>
        <w:rStyle w:val="PageNumber"/>
      </w:rPr>
      <w:t>P.U.C Docket No. 49421</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D72CC7">
      <w:rPr>
        <w:noProof/>
        <w:snapToGrid w:val="0"/>
      </w:rPr>
      <w:t>1</w:t>
    </w:r>
    <w:r w:rsidRPr="00A34F36">
      <w:rPr>
        <w:noProof/>
        <w:snapToGrid w:val="0"/>
      </w:rPr>
      <w:fldChar w:fldCharType="end"/>
    </w:r>
    <w:r>
      <w:rPr>
        <w:rStyle w:val="PageNumbe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474F8"/>
    <w:multiLevelType w:val="singleLevel"/>
    <w:tmpl w:val="5274AE12"/>
    <w:lvl w:ilvl="0">
      <w:start w:val="1"/>
      <w:numFmt w:val="none"/>
      <w:pStyle w:val="Answer"/>
      <w:lvlText w:val="A."/>
      <w:lvlJc w:val="left"/>
      <w:pPr>
        <w:tabs>
          <w:tab w:val="num" w:pos="720"/>
        </w:tabs>
        <w:ind w:left="720" w:hanging="720"/>
      </w:pPr>
      <w:rPr>
        <w:rFonts w:ascii="Arial" w:hAnsi="Arial" w:hint="default"/>
        <w:b w:val="0"/>
        <w:i w:val="0"/>
        <w:sz w:val="22"/>
      </w:rPr>
    </w:lvl>
  </w:abstractNum>
  <w:abstractNum w:abstractNumId="1" w15:restartNumberingAfterBreak="0">
    <w:nsid w:val="06DA0C95"/>
    <w:multiLevelType w:val="hybridMultilevel"/>
    <w:tmpl w:val="82CE93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3E20350"/>
    <w:multiLevelType w:val="hybridMultilevel"/>
    <w:tmpl w:val="A25ADB28"/>
    <w:lvl w:ilvl="0" w:tplc="2AB4B056">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46D25"/>
    <w:multiLevelType w:val="hybridMultilevel"/>
    <w:tmpl w:val="F124A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ABB771E"/>
    <w:multiLevelType w:val="hybridMultilevel"/>
    <w:tmpl w:val="059EEF8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F273802"/>
    <w:multiLevelType w:val="hybridMultilevel"/>
    <w:tmpl w:val="CCF8D9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473012"/>
    <w:multiLevelType w:val="hybridMultilevel"/>
    <w:tmpl w:val="A964E0B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0C8008A"/>
    <w:multiLevelType w:val="hybridMultilevel"/>
    <w:tmpl w:val="23A49FBC"/>
    <w:lvl w:ilvl="0" w:tplc="8AC05B2C">
      <w:start w:val="5"/>
      <w:numFmt w:val="upperRoman"/>
      <w:pStyle w:val="Heading1"/>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9" w15:restartNumberingAfterBreak="0">
    <w:nsid w:val="4E636DC3"/>
    <w:multiLevelType w:val="hybridMultilevel"/>
    <w:tmpl w:val="3DF41CC4"/>
    <w:lvl w:ilvl="0" w:tplc="0409000F">
      <w:start w:val="1"/>
      <w:numFmt w:val="decimal"/>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0" w15:restartNumberingAfterBreak="0">
    <w:nsid w:val="4ED20E18"/>
    <w:multiLevelType w:val="hybridMultilevel"/>
    <w:tmpl w:val="C8D2A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4396567"/>
    <w:multiLevelType w:val="hybridMultilevel"/>
    <w:tmpl w:val="B40837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58C1209"/>
    <w:multiLevelType w:val="hybridMultilevel"/>
    <w:tmpl w:val="1D9AE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855376"/>
    <w:multiLevelType w:val="singleLevel"/>
    <w:tmpl w:val="6504A85C"/>
    <w:lvl w:ilvl="0">
      <w:start w:val="1"/>
      <w:numFmt w:val="upperRoman"/>
      <w:pStyle w:val="Heading3"/>
      <w:lvlText w:val="%1."/>
      <w:lvlJc w:val="left"/>
      <w:pPr>
        <w:tabs>
          <w:tab w:val="num" w:pos="720"/>
        </w:tabs>
        <w:ind w:left="720" w:hanging="720"/>
      </w:pPr>
      <w:rPr>
        <w:rFonts w:hint="default"/>
      </w:rPr>
    </w:lvl>
  </w:abstractNum>
  <w:abstractNum w:abstractNumId="14" w15:restartNumberingAfterBreak="0">
    <w:nsid w:val="772E04C1"/>
    <w:multiLevelType w:val="hybridMultilevel"/>
    <w:tmpl w:val="1BB6825E"/>
    <w:lvl w:ilvl="0" w:tplc="04090019">
      <w:start w:val="1"/>
      <w:numFmt w:val="lowerLetter"/>
      <w:lvlText w:val="%1."/>
      <w:lvlJc w:val="left"/>
      <w:pPr>
        <w:ind w:left="20880" w:hanging="360"/>
      </w:pPr>
    </w:lvl>
    <w:lvl w:ilvl="1" w:tplc="04090019">
      <w:start w:val="1"/>
      <w:numFmt w:val="lowerLetter"/>
      <w:lvlText w:val="%2."/>
      <w:lvlJc w:val="left"/>
      <w:pPr>
        <w:ind w:left="21600" w:hanging="360"/>
      </w:pPr>
    </w:lvl>
    <w:lvl w:ilvl="2" w:tplc="0409001B" w:tentative="1">
      <w:start w:val="1"/>
      <w:numFmt w:val="lowerRoman"/>
      <w:lvlText w:val="%3."/>
      <w:lvlJc w:val="right"/>
      <w:pPr>
        <w:ind w:left="22320" w:hanging="180"/>
      </w:pPr>
    </w:lvl>
    <w:lvl w:ilvl="3" w:tplc="0409000F" w:tentative="1">
      <w:start w:val="1"/>
      <w:numFmt w:val="decimal"/>
      <w:lvlText w:val="%4."/>
      <w:lvlJc w:val="left"/>
      <w:pPr>
        <w:ind w:left="23040" w:hanging="360"/>
      </w:pPr>
    </w:lvl>
    <w:lvl w:ilvl="4" w:tplc="04090019" w:tentative="1">
      <w:start w:val="1"/>
      <w:numFmt w:val="lowerLetter"/>
      <w:lvlText w:val="%5."/>
      <w:lvlJc w:val="left"/>
      <w:pPr>
        <w:ind w:left="23760" w:hanging="360"/>
      </w:pPr>
    </w:lvl>
    <w:lvl w:ilvl="5" w:tplc="0409001B" w:tentative="1">
      <w:start w:val="1"/>
      <w:numFmt w:val="lowerRoman"/>
      <w:lvlText w:val="%6."/>
      <w:lvlJc w:val="right"/>
      <w:pPr>
        <w:ind w:left="24480" w:hanging="180"/>
      </w:pPr>
    </w:lvl>
    <w:lvl w:ilvl="6" w:tplc="0409000F" w:tentative="1">
      <w:start w:val="1"/>
      <w:numFmt w:val="decimal"/>
      <w:lvlText w:val="%7."/>
      <w:lvlJc w:val="left"/>
      <w:pPr>
        <w:ind w:left="25200" w:hanging="360"/>
      </w:pPr>
    </w:lvl>
    <w:lvl w:ilvl="7" w:tplc="04090019" w:tentative="1">
      <w:start w:val="1"/>
      <w:numFmt w:val="lowerLetter"/>
      <w:lvlText w:val="%8."/>
      <w:lvlJc w:val="left"/>
      <w:pPr>
        <w:ind w:left="25920" w:hanging="360"/>
      </w:pPr>
    </w:lvl>
    <w:lvl w:ilvl="8" w:tplc="0409001B" w:tentative="1">
      <w:start w:val="1"/>
      <w:numFmt w:val="lowerRoman"/>
      <w:lvlText w:val="%9."/>
      <w:lvlJc w:val="right"/>
      <w:pPr>
        <w:ind w:left="26640" w:hanging="180"/>
      </w:pPr>
    </w:lvl>
  </w:abstractNum>
  <w:abstractNum w:abstractNumId="15" w15:restartNumberingAfterBreak="0">
    <w:nsid w:val="7BFB2299"/>
    <w:multiLevelType w:val="hybridMultilevel"/>
    <w:tmpl w:val="21DA31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8"/>
  </w:num>
  <w:num w:numId="3">
    <w:abstractNumId w:val="7"/>
  </w:num>
  <w:num w:numId="4">
    <w:abstractNumId w:val="0"/>
  </w:num>
  <w:num w:numId="5">
    <w:abstractNumId w:val="2"/>
  </w:num>
  <w:num w:numId="6">
    <w:abstractNumId w:val="5"/>
  </w:num>
  <w:num w:numId="7">
    <w:abstractNumId w:val="12"/>
  </w:num>
  <w:num w:numId="8">
    <w:abstractNumId w:val="14"/>
  </w:num>
  <w:num w:numId="9">
    <w:abstractNumId w:val="3"/>
  </w:num>
  <w:num w:numId="10">
    <w:abstractNumId w:val="4"/>
  </w:num>
  <w:num w:numId="11">
    <w:abstractNumId w:val="11"/>
  </w:num>
  <w:num w:numId="12">
    <w:abstractNumId w:val="9"/>
  </w:num>
  <w:num w:numId="13">
    <w:abstractNumId w:val="6"/>
  </w:num>
  <w:num w:numId="14">
    <w:abstractNumId w:val="1"/>
  </w:num>
  <w:num w:numId="15">
    <w:abstractNumId w:val="15"/>
  </w:num>
  <w:num w:numId="1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activeWritingStyle w:appName="MSWord" w:lang="en-US" w:vendorID="64" w:dllVersion="131078" w:nlCheck="1"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02FF"/>
    <w:rsid w:val="00000323"/>
    <w:rsid w:val="00000766"/>
    <w:rsid w:val="000008FB"/>
    <w:rsid w:val="000009C9"/>
    <w:rsid w:val="00001310"/>
    <w:rsid w:val="0000131F"/>
    <w:rsid w:val="00001475"/>
    <w:rsid w:val="000014BA"/>
    <w:rsid w:val="00001BF0"/>
    <w:rsid w:val="00001ECC"/>
    <w:rsid w:val="000020D2"/>
    <w:rsid w:val="000022CD"/>
    <w:rsid w:val="00002711"/>
    <w:rsid w:val="00002849"/>
    <w:rsid w:val="00002B29"/>
    <w:rsid w:val="00002DB6"/>
    <w:rsid w:val="00002FB0"/>
    <w:rsid w:val="000030C7"/>
    <w:rsid w:val="0000349F"/>
    <w:rsid w:val="000037A2"/>
    <w:rsid w:val="00003882"/>
    <w:rsid w:val="00003D80"/>
    <w:rsid w:val="00003E57"/>
    <w:rsid w:val="00003FA6"/>
    <w:rsid w:val="00004103"/>
    <w:rsid w:val="0000414F"/>
    <w:rsid w:val="00004BE2"/>
    <w:rsid w:val="00004C80"/>
    <w:rsid w:val="0000509D"/>
    <w:rsid w:val="0000522B"/>
    <w:rsid w:val="000054E8"/>
    <w:rsid w:val="00005707"/>
    <w:rsid w:val="00005B58"/>
    <w:rsid w:val="00005DA6"/>
    <w:rsid w:val="00006795"/>
    <w:rsid w:val="00006A52"/>
    <w:rsid w:val="00006E4F"/>
    <w:rsid w:val="0000798A"/>
    <w:rsid w:val="00007C53"/>
    <w:rsid w:val="00007C9D"/>
    <w:rsid w:val="0001015F"/>
    <w:rsid w:val="000105BC"/>
    <w:rsid w:val="0001070B"/>
    <w:rsid w:val="000108D1"/>
    <w:rsid w:val="000109F9"/>
    <w:rsid w:val="00010E4A"/>
    <w:rsid w:val="00011022"/>
    <w:rsid w:val="000112A9"/>
    <w:rsid w:val="000115B0"/>
    <w:rsid w:val="00011F88"/>
    <w:rsid w:val="00012095"/>
    <w:rsid w:val="000121D2"/>
    <w:rsid w:val="000124BD"/>
    <w:rsid w:val="0001340A"/>
    <w:rsid w:val="000137DA"/>
    <w:rsid w:val="000138A1"/>
    <w:rsid w:val="000139A3"/>
    <w:rsid w:val="00013AFB"/>
    <w:rsid w:val="00013B8B"/>
    <w:rsid w:val="00013DB6"/>
    <w:rsid w:val="00014082"/>
    <w:rsid w:val="0001422C"/>
    <w:rsid w:val="00014448"/>
    <w:rsid w:val="000145A8"/>
    <w:rsid w:val="000148B5"/>
    <w:rsid w:val="00014D66"/>
    <w:rsid w:val="000154E2"/>
    <w:rsid w:val="0001561C"/>
    <w:rsid w:val="000157B3"/>
    <w:rsid w:val="000158A1"/>
    <w:rsid w:val="000168C6"/>
    <w:rsid w:val="00016AC2"/>
    <w:rsid w:val="0001720C"/>
    <w:rsid w:val="000172E3"/>
    <w:rsid w:val="0001733E"/>
    <w:rsid w:val="00017C0B"/>
    <w:rsid w:val="00017CF5"/>
    <w:rsid w:val="00021036"/>
    <w:rsid w:val="000213F9"/>
    <w:rsid w:val="00021695"/>
    <w:rsid w:val="00021B23"/>
    <w:rsid w:val="000225CE"/>
    <w:rsid w:val="000226E5"/>
    <w:rsid w:val="00022911"/>
    <w:rsid w:val="0002301F"/>
    <w:rsid w:val="0002317D"/>
    <w:rsid w:val="0002319D"/>
    <w:rsid w:val="00023576"/>
    <w:rsid w:val="00023670"/>
    <w:rsid w:val="00023976"/>
    <w:rsid w:val="00023C4A"/>
    <w:rsid w:val="00023D06"/>
    <w:rsid w:val="00023EA5"/>
    <w:rsid w:val="000244D1"/>
    <w:rsid w:val="0002470E"/>
    <w:rsid w:val="00024870"/>
    <w:rsid w:val="00024B7C"/>
    <w:rsid w:val="00024D61"/>
    <w:rsid w:val="00024EE4"/>
    <w:rsid w:val="00024F07"/>
    <w:rsid w:val="0002505C"/>
    <w:rsid w:val="00025414"/>
    <w:rsid w:val="00025548"/>
    <w:rsid w:val="000255C7"/>
    <w:rsid w:val="000256F7"/>
    <w:rsid w:val="00025887"/>
    <w:rsid w:val="00025A51"/>
    <w:rsid w:val="00025AA3"/>
    <w:rsid w:val="00025EDE"/>
    <w:rsid w:val="00025F33"/>
    <w:rsid w:val="00026757"/>
    <w:rsid w:val="000270BC"/>
    <w:rsid w:val="000271A8"/>
    <w:rsid w:val="00027550"/>
    <w:rsid w:val="000276F6"/>
    <w:rsid w:val="000278F2"/>
    <w:rsid w:val="00027ADA"/>
    <w:rsid w:val="0003007C"/>
    <w:rsid w:val="00030373"/>
    <w:rsid w:val="000303A1"/>
    <w:rsid w:val="0003073A"/>
    <w:rsid w:val="000313E3"/>
    <w:rsid w:val="000319B9"/>
    <w:rsid w:val="00031B76"/>
    <w:rsid w:val="00031C3E"/>
    <w:rsid w:val="00031FC4"/>
    <w:rsid w:val="000325A2"/>
    <w:rsid w:val="00032AD1"/>
    <w:rsid w:val="0003304D"/>
    <w:rsid w:val="0003308E"/>
    <w:rsid w:val="0003315E"/>
    <w:rsid w:val="00033354"/>
    <w:rsid w:val="00033761"/>
    <w:rsid w:val="00033774"/>
    <w:rsid w:val="000337F4"/>
    <w:rsid w:val="00033CA6"/>
    <w:rsid w:val="000340A1"/>
    <w:rsid w:val="000340C9"/>
    <w:rsid w:val="00034312"/>
    <w:rsid w:val="000353AF"/>
    <w:rsid w:val="000354CA"/>
    <w:rsid w:val="0003561F"/>
    <w:rsid w:val="00035AF8"/>
    <w:rsid w:val="00035C03"/>
    <w:rsid w:val="00035CC6"/>
    <w:rsid w:val="00035E8F"/>
    <w:rsid w:val="000362C5"/>
    <w:rsid w:val="00036A33"/>
    <w:rsid w:val="00036DA0"/>
    <w:rsid w:val="0003707B"/>
    <w:rsid w:val="000375C2"/>
    <w:rsid w:val="000376C2"/>
    <w:rsid w:val="000377FA"/>
    <w:rsid w:val="000400DF"/>
    <w:rsid w:val="00040F5B"/>
    <w:rsid w:val="00041171"/>
    <w:rsid w:val="0004129D"/>
    <w:rsid w:val="00041348"/>
    <w:rsid w:val="00041CB4"/>
    <w:rsid w:val="00042525"/>
    <w:rsid w:val="0004291A"/>
    <w:rsid w:val="0004378C"/>
    <w:rsid w:val="00043A95"/>
    <w:rsid w:val="00043AF1"/>
    <w:rsid w:val="00043D13"/>
    <w:rsid w:val="000442A3"/>
    <w:rsid w:val="00044642"/>
    <w:rsid w:val="00044947"/>
    <w:rsid w:val="000449F2"/>
    <w:rsid w:val="00044AB1"/>
    <w:rsid w:val="00044C5F"/>
    <w:rsid w:val="00044CBD"/>
    <w:rsid w:val="0004514C"/>
    <w:rsid w:val="0004517A"/>
    <w:rsid w:val="00045198"/>
    <w:rsid w:val="0004569F"/>
    <w:rsid w:val="0004577D"/>
    <w:rsid w:val="00045C90"/>
    <w:rsid w:val="00045E12"/>
    <w:rsid w:val="00045FDE"/>
    <w:rsid w:val="00046476"/>
    <w:rsid w:val="0004662B"/>
    <w:rsid w:val="000467F8"/>
    <w:rsid w:val="00046878"/>
    <w:rsid w:val="000473C8"/>
    <w:rsid w:val="00047438"/>
    <w:rsid w:val="00047DF8"/>
    <w:rsid w:val="00047EB4"/>
    <w:rsid w:val="00047F6F"/>
    <w:rsid w:val="00050B54"/>
    <w:rsid w:val="000512BB"/>
    <w:rsid w:val="00051709"/>
    <w:rsid w:val="000519A9"/>
    <w:rsid w:val="00051B7B"/>
    <w:rsid w:val="000521B4"/>
    <w:rsid w:val="00052537"/>
    <w:rsid w:val="00052634"/>
    <w:rsid w:val="000527F4"/>
    <w:rsid w:val="00052DF9"/>
    <w:rsid w:val="00052F60"/>
    <w:rsid w:val="0005315D"/>
    <w:rsid w:val="000531D7"/>
    <w:rsid w:val="00053EB1"/>
    <w:rsid w:val="00053F4B"/>
    <w:rsid w:val="000543E2"/>
    <w:rsid w:val="000544A8"/>
    <w:rsid w:val="00054545"/>
    <w:rsid w:val="00054703"/>
    <w:rsid w:val="000548C1"/>
    <w:rsid w:val="0005493D"/>
    <w:rsid w:val="0005497D"/>
    <w:rsid w:val="000549F5"/>
    <w:rsid w:val="00054B57"/>
    <w:rsid w:val="00054F6B"/>
    <w:rsid w:val="0005502E"/>
    <w:rsid w:val="0005527A"/>
    <w:rsid w:val="000554BA"/>
    <w:rsid w:val="00055C1F"/>
    <w:rsid w:val="00055C6A"/>
    <w:rsid w:val="00055F48"/>
    <w:rsid w:val="000565DA"/>
    <w:rsid w:val="00056721"/>
    <w:rsid w:val="00056736"/>
    <w:rsid w:val="00056B7E"/>
    <w:rsid w:val="000573D5"/>
    <w:rsid w:val="00057672"/>
    <w:rsid w:val="000576BF"/>
    <w:rsid w:val="00057891"/>
    <w:rsid w:val="00057D8C"/>
    <w:rsid w:val="00060409"/>
    <w:rsid w:val="00060498"/>
    <w:rsid w:val="00060574"/>
    <w:rsid w:val="00060770"/>
    <w:rsid w:val="00060FBB"/>
    <w:rsid w:val="00061085"/>
    <w:rsid w:val="0006108A"/>
    <w:rsid w:val="0006123B"/>
    <w:rsid w:val="000614C7"/>
    <w:rsid w:val="00061A97"/>
    <w:rsid w:val="000620FF"/>
    <w:rsid w:val="00062194"/>
    <w:rsid w:val="00062351"/>
    <w:rsid w:val="0006286D"/>
    <w:rsid w:val="000629A6"/>
    <w:rsid w:val="000629C5"/>
    <w:rsid w:val="00062DE1"/>
    <w:rsid w:val="00063043"/>
    <w:rsid w:val="00063209"/>
    <w:rsid w:val="00063645"/>
    <w:rsid w:val="000636E7"/>
    <w:rsid w:val="0006371D"/>
    <w:rsid w:val="00063755"/>
    <w:rsid w:val="00063D96"/>
    <w:rsid w:val="00063FB3"/>
    <w:rsid w:val="0006413F"/>
    <w:rsid w:val="00064664"/>
    <w:rsid w:val="0006483D"/>
    <w:rsid w:val="000649C6"/>
    <w:rsid w:val="00064D03"/>
    <w:rsid w:val="000651F2"/>
    <w:rsid w:val="0006533F"/>
    <w:rsid w:val="00065DDD"/>
    <w:rsid w:val="0006605F"/>
    <w:rsid w:val="000661B6"/>
    <w:rsid w:val="00066292"/>
    <w:rsid w:val="00066A3F"/>
    <w:rsid w:val="00066DA6"/>
    <w:rsid w:val="00066E18"/>
    <w:rsid w:val="000673A7"/>
    <w:rsid w:val="000677BF"/>
    <w:rsid w:val="00067888"/>
    <w:rsid w:val="00067C0A"/>
    <w:rsid w:val="00067E4D"/>
    <w:rsid w:val="00067EF9"/>
    <w:rsid w:val="000708B4"/>
    <w:rsid w:val="00070D2E"/>
    <w:rsid w:val="000714B5"/>
    <w:rsid w:val="000717AD"/>
    <w:rsid w:val="000720D0"/>
    <w:rsid w:val="00072207"/>
    <w:rsid w:val="0007235C"/>
    <w:rsid w:val="00072676"/>
    <w:rsid w:val="00072A83"/>
    <w:rsid w:val="0007364C"/>
    <w:rsid w:val="0007372E"/>
    <w:rsid w:val="000737A4"/>
    <w:rsid w:val="00073B1C"/>
    <w:rsid w:val="00073F18"/>
    <w:rsid w:val="00073F57"/>
    <w:rsid w:val="0007423C"/>
    <w:rsid w:val="000743EB"/>
    <w:rsid w:val="000751D3"/>
    <w:rsid w:val="00075564"/>
    <w:rsid w:val="00075B73"/>
    <w:rsid w:val="00075C4A"/>
    <w:rsid w:val="00075DAA"/>
    <w:rsid w:val="000760F1"/>
    <w:rsid w:val="0007634F"/>
    <w:rsid w:val="00076DAD"/>
    <w:rsid w:val="00076E5C"/>
    <w:rsid w:val="000770BE"/>
    <w:rsid w:val="0007730E"/>
    <w:rsid w:val="00077896"/>
    <w:rsid w:val="00077D71"/>
    <w:rsid w:val="00080310"/>
    <w:rsid w:val="00080531"/>
    <w:rsid w:val="0008062B"/>
    <w:rsid w:val="00080A7D"/>
    <w:rsid w:val="00081163"/>
    <w:rsid w:val="00081262"/>
    <w:rsid w:val="000812D6"/>
    <w:rsid w:val="0008141A"/>
    <w:rsid w:val="00081A9B"/>
    <w:rsid w:val="000822AE"/>
    <w:rsid w:val="0008266F"/>
    <w:rsid w:val="000829EA"/>
    <w:rsid w:val="00082B07"/>
    <w:rsid w:val="00083385"/>
    <w:rsid w:val="0008350F"/>
    <w:rsid w:val="00083AA9"/>
    <w:rsid w:val="00083E46"/>
    <w:rsid w:val="00084829"/>
    <w:rsid w:val="00084BA7"/>
    <w:rsid w:val="00084F89"/>
    <w:rsid w:val="00084FB7"/>
    <w:rsid w:val="0008503D"/>
    <w:rsid w:val="000851B7"/>
    <w:rsid w:val="00085393"/>
    <w:rsid w:val="000854B1"/>
    <w:rsid w:val="00085617"/>
    <w:rsid w:val="00085949"/>
    <w:rsid w:val="00085D96"/>
    <w:rsid w:val="000862E2"/>
    <w:rsid w:val="00086599"/>
    <w:rsid w:val="000865B3"/>
    <w:rsid w:val="00086678"/>
    <w:rsid w:val="00086863"/>
    <w:rsid w:val="000868BF"/>
    <w:rsid w:val="00086F10"/>
    <w:rsid w:val="000870DA"/>
    <w:rsid w:val="00087385"/>
    <w:rsid w:val="00087727"/>
    <w:rsid w:val="000877A3"/>
    <w:rsid w:val="000900C4"/>
    <w:rsid w:val="0009037A"/>
    <w:rsid w:val="000903EF"/>
    <w:rsid w:val="00090546"/>
    <w:rsid w:val="000906C3"/>
    <w:rsid w:val="00090BF6"/>
    <w:rsid w:val="00090C42"/>
    <w:rsid w:val="00090D8A"/>
    <w:rsid w:val="00091EBE"/>
    <w:rsid w:val="000920CF"/>
    <w:rsid w:val="0009211D"/>
    <w:rsid w:val="00092304"/>
    <w:rsid w:val="00092419"/>
    <w:rsid w:val="00092602"/>
    <w:rsid w:val="0009287D"/>
    <w:rsid w:val="0009299A"/>
    <w:rsid w:val="00093048"/>
    <w:rsid w:val="00093236"/>
    <w:rsid w:val="00093555"/>
    <w:rsid w:val="000935DF"/>
    <w:rsid w:val="000938A5"/>
    <w:rsid w:val="00093964"/>
    <w:rsid w:val="00093EA7"/>
    <w:rsid w:val="000942CC"/>
    <w:rsid w:val="000943A9"/>
    <w:rsid w:val="000943F7"/>
    <w:rsid w:val="000947D4"/>
    <w:rsid w:val="00094ACE"/>
    <w:rsid w:val="00094C70"/>
    <w:rsid w:val="00094D73"/>
    <w:rsid w:val="00094E3C"/>
    <w:rsid w:val="00094E4A"/>
    <w:rsid w:val="00094E6E"/>
    <w:rsid w:val="0009502F"/>
    <w:rsid w:val="00095E3C"/>
    <w:rsid w:val="00096072"/>
    <w:rsid w:val="00096125"/>
    <w:rsid w:val="00096289"/>
    <w:rsid w:val="000964EE"/>
    <w:rsid w:val="000965AA"/>
    <w:rsid w:val="00096B57"/>
    <w:rsid w:val="00096D68"/>
    <w:rsid w:val="00097095"/>
    <w:rsid w:val="0009709F"/>
    <w:rsid w:val="000970D0"/>
    <w:rsid w:val="0009718C"/>
    <w:rsid w:val="00097E41"/>
    <w:rsid w:val="00097E65"/>
    <w:rsid w:val="000A006A"/>
    <w:rsid w:val="000A0A25"/>
    <w:rsid w:val="000A0BA5"/>
    <w:rsid w:val="000A1105"/>
    <w:rsid w:val="000A111C"/>
    <w:rsid w:val="000A1138"/>
    <w:rsid w:val="000A122C"/>
    <w:rsid w:val="000A131B"/>
    <w:rsid w:val="000A133A"/>
    <w:rsid w:val="000A176A"/>
    <w:rsid w:val="000A18DE"/>
    <w:rsid w:val="000A1D11"/>
    <w:rsid w:val="000A229C"/>
    <w:rsid w:val="000A252F"/>
    <w:rsid w:val="000A26CD"/>
    <w:rsid w:val="000A2833"/>
    <w:rsid w:val="000A288B"/>
    <w:rsid w:val="000A28AE"/>
    <w:rsid w:val="000A3220"/>
    <w:rsid w:val="000A3363"/>
    <w:rsid w:val="000A352A"/>
    <w:rsid w:val="000A3565"/>
    <w:rsid w:val="000A36FC"/>
    <w:rsid w:val="000A3B81"/>
    <w:rsid w:val="000A3D0E"/>
    <w:rsid w:val="000A4A7A"/>
    <w:rsid w:val="000A513D"/>
    <w:rsid w:val="000A5826"/>
    <w:rsid w:val="000A5FF3"/>
    <w:rsid w:val="000A6205"/>
    <w:rsid w:val="000A6350"/>
    <w:rsid w:val="000A63E6"/>
    <w:rsid w:val="000A64C4"/>
    <w:rsid w:val="000A683D"/>
    <w:rsid w:val="000A69E4"/>
    <w:rsid w:val="000A6E7C"/>
    <w:rsid w:val="000A6FEB"/>
    <w:rsid w:val="000A7229"/>
    <w:rsid w:val="000A74F2"/>
    <w:rsid w:val="000A76A0"/>
    <w:rsid w:val="000A7A5F"/>
    <w:rsid w:val="000A7C2E"/>
    <w:rsid w:val="000B02EC"/>
    <w:rsid w:val="000B063E"/>
    <w:rsid w:val="000B07E3"/>
    <w:rsid w:val="000B0957"/>
    <w:rsid w:val="000B0AE5"/>
    <w:rsid w:val="000B0BA9"/>
    <w:rsid w:val="000B1060"/>
    <w:rsid w:val="000B1396"/>
    <w:rsid w:val="000B172C"/>
    <w:rsid w:val="000B1E17"/>
    <w:rsid w:val="000B2294"/>
    <w:rsid w:val="000B29E7"/>
    <w:rsid w:val="000B2ACB"/>
    <w:rsid w:val="000B2B6B"/>
    <w:rsid w:val="000B2D57"/>
    <w:rsid w:val="000B2E67"/>
    <w:rsid w:val="000B2F0F"/>
    <w:rsid w:val="000B2FDB"/>
    <w:rsid w:val="000B31FB"/>
    <w:rsid w:val="000B337F"/>
    <w:rsid w:val="000B36C8"/>
    <w:rsid w:val="000B3904"/>
    <w:rsid w:val="000B3933"/>
    <w:rsid w:val="000B3AD4"/>
    <w:rsid w:val="000B428A"/>
    <w:rsid w:val="000B4317"/>
    <w:rsid w:val="000B4419"/>
    <w:rsid w:val="000B458B"/>
    <w:rsid w:val="000B47D7"/>
    <w:rsid w:val="000B48CA"/>
    <w:rsid w:val="000B48DD"/>
    <w:rsid w:val="000B4AD5"/>
    <w:rsid w:val="000B4C6F"/>
    <w:rsid w:val="000B4F6F"/>
    <w:rsid w:val="000B53EF"/>
    <w:rsid w:val="000B5454"/>
    <w:rsid w:val="000B55E5"/>
    <w:rsid w:val="000B56C2"/>
    <w:rsid w:val="000B59CD"/>
    <w:rsid w:val="000B5EE8"/>
    <w:rsid w:val="000B625A"/>
    <w:rsid w:val="000B6699"/>
    <w:rsid w:val="000B6875"/>
    <w:rsid w:val="000B68E9"/>
    <w:rsid w:val="000B6EFE"/>
    <w:rsid w:val="000B7637"/>
    <w:rsid w:val="000B7802"/>
    <w:rsid w:val="000B7B74"/>
    <w:rsid w:val="000C0500"/>
    <w:rsid w:val="000C0589"/>
    <w:rsid w:val="000C0BF3"/>
    <w:rsid w:val="000C102D"/>
    <w:rsid w:val="000C12ED"/>
    <w:rsid w:val="000C149F"/>
    <w:rsid w:val="000C1645"/>
    <w:rsid w:val="000C1721"/>
    <w:rsid w:val="000C1EC8"/>
    <w:rsid w:val="000C2321"/>
    <w:rsid w:val="000C2589"/>
    <w:rsid w:val="000C2622"/>
    <w:rsid w:val="000C26F9"/>
    <w:rsid w:val="000C2793"/>
    <w:rsid w:val="000C2D82"/>
    <w:rsid w:val="000C2F9F"/>
    <w:rsid w:val="000C3065"/>
    <w:rsid w:val="000C3B65"/>
    <w:rsid w:val="000C3F58"/>
    <w:rsid w:val="000C3FA1"/>
    <w:rsid w:val="000C4005"/>
    <w:rsid w:val="000C405A"/>
    <w:rsid w:val="000C41BB"/>
    <w:rsid w:val="000C42B6"/>
    <w:rsid w:val="000C5329"/>
    <w:rsid w:val="000C5A66"/>
    <w:rsid w:val="000C5D83"/>
    <w:rsid w:val="000C633E"/>
    <w:rsid w:val="000C63F9"/>
    <w:rsid w:val="000C6452"/>
    <w:rsid w:val="000C646F"/>
    <w:rsid w:val="000C66F9"/>
    <w:rsid w:val="000C68DC"/>
    <w:rsid w:val="000C696E"/>
    <w:rsid w:val="000C6BC4"/>
    <w:rsid w:val="000C7284"/>
    <w:rsid w:val="000C78D0"/>
    <w:rsid w:val="000C7BB3"/>
    <w:rsid w:val="000C7CE5"/>
    <w:rsid w:val="000D08AC"/>
    <w:rsid w:val="000D08B6"/>
    <w:rsid w:val="000D0A28"/>
    <w:rsid w:val="000D0DBF"/>
    <w:rsid w:val="000D0ED8"/>
    <w:rsid w:val="000D0F62"/>
    <w:rsid w:val="000D0F8E"/>
    <w:rsid w:val="000D1169"/>
    <w:rsid w:val="000D1243"/>
    <w:rsid w:val="000D12AD"/>
    <w:rsid w:val="000D2330"/>
    <w:rsid w:val="000D2642"/>
    <w:rsid w:val="000D2723"/>
    <w:rsid w:val="000D2D84"/>
    <w:rsid w:val="000D2DE9"/>
    <w:rsid w:val="000D2E04"/>
    <w:rsid w:val="000D322C"/>
    <w:rsid w:val="000D362C"/>
    <w:rsid w:val="000D37C8"/>
    <w:rsid w:val="000D37D9"/>
    <w:rsid w:val="000D3C09"/>
    <w:rsid w:val="000D3E2F"/>
    <w:rsid w:val="000D3F97"/>
    <w:rsid w:val="000D4532"/>
    <w:rsid w:val="000D49B8"/>
    <w:rsid w:val="000D4E20"/>
    <w:rsid w:val="000D50E8"/>
    <w:rsid w:val="000D55E5"/>
    <w:rsid w:val="000D5EBD"/>
    <w:rsid w:val="000D6382"/>
    <w:rsid w:val="000D6391"/>
    <w:rsid w:val="000D63BB"/>
    <w:rsid w:val="000D6452"/>
    <w:rsid w:val="000D6EB0"/>
    <w:rsid w:val="000D6FE8"/>
    <w:rsid w:val="000D710B"/>
    <w:rsid w:val="000D71AF"/>
    <w:rsid w:val="000D757C"/>
    <w:rsid w:val="000D759C"/>
    <w:rsid w:val="000D767B"/>
    <w:rsid w:val="000D7704"/>
    <w:rsid w:val="000D7F91"/>
    <w:rsid w:val="000E01DF"/>
    <w:rsid w:val="000E02DB"/>
    <w:rsid w:val="000E095C"/>
    <w:rsid w:val="000E0BE1"/>
    <w:rsid w:val="000E0C24"/>
    <w:rsid w:val="000E0FCB"/>
    <w:rsid w:val="000E1F81"/>
    <w:rsid w:val="000E2289"/>
    <w:rsid w:val="000E25BE"/>
    <w:rsid w:val="000E2933"/>
    <w:rsid w:val="000E293B"/>
    <w:rsid w:val="000E2D9C"/>
    <w:rsid w:val="000E2DAF"/>
    <w:rsid w:val="000E328E"/>
    <w:rsid w:val="000E32BB"/>
    <w:rsid w:val="000E366D"/>
    <w:rsid w:val="000E37AC"/>
    <w:rsid w:val="000E3902"/>
    <w:rsid w:val="000E410F"/>
    <w:rsid w:val="000E448F"/>
    <w:rsid w:val="000E506B"/>
    <w:rsid w:val="000E51EE"/>
    <w:rsid w:val="000E52C4"/>
    <w:rsid w:val="000E559E"/>
    <w:rsid w:val="000E5940"/>
    <w:rsid w:val="000E5D65"/>
    <w:rsid w:val="000E6424"/>
    <w:rsid w:val="000E65E2"/>
    <w:rsid w:val="000E7167"/>
    <w:rsid w:val="000E7219"/>
    <w:rsid w:val="000E722C"/>
    <w:rsid w:val="000E7910"/>
    <w:rsid w:val="000E7FFE"/>
    <w:rsid w:val="000F0C39"/>
    <w:rsid w:val="000F0CBE"/>
    <w:rsid w:val="000F1EB2"/>
    <w:rsid w:val="000F20BB"/>
    <w:rsid w:val="000F239A"/>
    <w:rsid w:val="000F2662"/>
    <w:rsid w:val="000F3233"/>
    <w:rsid w:val="000F3865"/>
    <w:rsid w:val="000F3B71"/>
    <w:rsid w:val="000F4D4B"/>
    <w:rsid w:val="000F4FA0"/>
    <w:rsid w:val="000F51F8"/>
    <w:rsid w:val="000F5542"/>
    <w:rsid w:val="000F5782"/>
    <w:rsid w:val="000F57A9"/>
    <w:rsid w:val="000F57F9"/>
    <w:rsid w:val="000F5D9F"/>
    <w:rsid w:val="000F5FDA"/>
    <w:rsid w:val="000F63AE"/>
    <w:rsid w:val="000F65CD"/>
    <w:rsid w:val="000F680C"/>
    <w:rsid w:val="000F73C8"/>
    <w:rsid w:val="000F73D4"/>
    <w:rsid w:val="000F749E"/>
    <w:rsid w:val="000F7534"/>
    <w:rsid w:val="000F7E9A"/>
    <w:rsid w:val="0010019F"/>
    <w:rsid w:val="001004E9"/>
    <w:rsid w:val="001006E1"/>
    <w:rsid w:val="00101018"/>
    <w:rsid w:val="00101469"/>
    <w:rsid w:val="00101663"/>
    <w:rsid w:val="001021D4"/>
    <w:rsid w:val="001022D3"/>
    <w:rsid w:val="00102B6F"/>
    <w:rsid w:val="00102E71"/>
    <w:rsid w:val="00102FEC"/>
    <w:rsid w:val="001040DA"/>
    <w:rsid w:val="00104413"/>
    <w:rsid w:val="00104A6C"/>
    <w:rsid w:val="00104C49"/>
    <w:rsid w:val="00104F79"/>
    <w:rsid w:val="00105372"/>
    <w:rsid w:val="00105527"/>
    <w:rsid w:val="001058F6"/>
    <w:rsid w:val="00105914"/>
    <w:rsid w:val="001061B9"/>
    <w:rsid w:val="00106297"/>
    <w:rsid w:val="00106713"/>
    <w:rsid w:val="001067F2"/>
    <w:rsid w:val="00106B0E"/>
    <w:rsid w:val="00106D7E"/>
    <w:rsid w:val="00106DF0"/>
    <w:rsid w:val="00106FCE"/>
    <w:rsid w:val="00107327"/>
    <w:rsid w:val="001074D0"/>
    <w:rsid w:val="001075C0"/>
    <w:rsid w:val="001076CC"/>
    <w:rsid w:val="00107752"/>
    <w:rsid w:val="001079D6"/>
    <w:rsid w:val="00107A46"/>
    <w:rsid w:val="00107E5B"/>
    <w:rsid w:val="00107F9F"/>
    <w:rsid w:val="0011036C"/>
    <w:rsid w:val="001103A7"/>
    <w:rsid w:val="00110413"/>
    <w:rsid w:val="001107AC"/>
    <w:rsid w:val="0011097C"/>
    <w:rsid w:val="00110BD6"/>
    <w:rsid w:val="0011169F"/>
    <w:rsid w:val="0011174D"/>
    <w:rsid w:val="0011184B"/>
    <w:rsid w:val="001122F4"/>
    <w:rsid w:val="0011240B"/>
    <w:rsid w:val="00112476"/>
    <w:rsid w:val="00112569"/>
    <w:rsid w:val="001125C1"/>
    <w:rsid w:val="00112683"/>
    <w:rsid w:val="00112967"/>
    <w:rsid w:val="00112C85"/>
    <w:rsid w:val="00112E56"/>
    <w:rsid w:val="00112EBF"/>
    <w:rsid w:val="0011301A"/>
    <w:rsid w:val="001131CB"/>
    <w:rsid w:val="00113269"/>
    <w:rsid w:val="00113677"/>
    <w:rsid w:val="001136EB"/>
    <w:rsid w:val="00113799"/>
    <w:rsid w:val="001139E0"/>
    <w:rsid w:val="00113C38"/>
    <w:rsid w:val="00114457"/>
    <w:rsid w:val="001148D7"/>
    <w:rsid w:val="00114AE9"/>
    <w:rsid w:val="00114C15"/>
    <w:rsid w:val="00114D53"/>
    <w:rsid w:val="001151F6"/>
    <w:rsid w:val="00115244"/>
    <w:rsid w:val="00115C0B"/>
    <w:rsid w:val="00115D19"/>
    <w:rsid w:val="001161E4"/>
    <w:rsid w:val="0011659C"/>
    <w:rsid w:val="00116854"/>
    <w:rsid w:val="00116ADE"/>
    <w:rsid w:val="00116F39"/>
    <w:rsid w:val="0011708D"/>
    <w:rsid w:val="001173F0"/>
    <w:rsid w:val="00117625"/>
    <w:rsid w:val="00117956"/>
    <w:rsid w:val="001179F3"/>
    <w:rsid w:val="00117AFC"/>
    <w:rsid w:val="00117E72"/>
    <w:rsid w:val="001202BC"/>
    <w:rsid w:val="00120798"/>
    <w:rsid w:val="00120843"/>
    <w:rsid w:val="00120A7F"/>
    <w:rsid w:val="00120C76"/>
    <w:rsid w:val="00120CA2"/>
    <w:rsid w:val="00120D5C"/>
    <w:rsid w:val="00120F1E"/>
    <w:rsid w:val="001215D4"/>
    <w:rsid w:val="00121960"/>
    <w:rsid w:val="001219CF"/>
    <w:rsid w:val="00121BC1"/>
    <w:rsid w:val="00121EE1"/>
    <w:rsid w:val="001220DE"/>
    <w:rsid w:val="00122413"/>
    <w:rsid w:val="00122613"/>
    <w:rsid w:val="0012298C"/>
    <w:rsid w:val="00122C4E"/>
    <w:rsid w:val="00123562"/>
    <w:rsid w:val="001236C4"/>
    <w:rsid w:val="001237C9"/>
    <w:rsid w:val="00123979"/>
    <w:rsid w:val="00123B8D"/>
    <w:rsid w:val="00123C71"/>
    <w:rsid w:val="0012402D"/>
    <w:rsid w:val="001243CC"/>
    <w:rsid w:val="00124631"/>
    <w:rsid w:val="00124CA8"/>
    <w:rsid w:val="00124D96"/>
    <w:rsid w:val="00124E30"/>
    <w:rsid w:val="001257BC"/>
    <w:rsid w:val="00125B98"/>
    <w:rsid w:val="00125BC2"/>
    <w:rsid w:val="00125D33"/>
    <w:rsid w:val="00125D92"/>
    <w:rsid w:val="00125E47"/>
    <w:rsid w:val="00125E5A"/>
    <w:rsid w:val="001261F5"/>
    <w:rsid w:val="00126332"/>
    <w:rsid w:val="00126395"/>
    <w:rsid w:val="0012699E"/>
    <w:rsid w:val="00126A61"/>
    <w:rsid w:val="00126C1D"/>
    <w:rsid w:val="00127220"/>
    <w:rsid w:val="00127E21"/>
    <w:rsid w:val="001303E8"/>
    <w:rsid w:val="0013043A"/>
    <w:rsid w:val="00130503"/>
    <w:rsid w:val="00130542"/>
    <w:rsid w:val="001307C2"/>
    <w:rsid w:val="0013084E"/>
    <w:rsid w:val="0013097E"/>
    <w:rsid w:val="00131428"/>
    <w:rsid w:val="001316C5"/>
    <w:rsid w:val="00131ED8"/>
    <w:rsid w:val="00132419"/>
    <w:rsid w:val="00132A31"/>
    <w:rsid w:val="00132DE6"/>
    <w:rsid w:val="00133907"/>
    <w:rsid w:val="00133CB1"/>
    <w:rsid w:val="00133D17"/>
    <w:rsid w:val="001344BF"/>
    <w:rsid w:val="00134516"/>
    <w:rsid w:val="00134B8B"/>
    <w:rsid w:val="00134D81"/>
    <w:rsid w:val="00134E4C"/>
    <w:rsid w:val="0013576B"/>
    <w:rsid w:val="001358CD"/>
    <w:rsid w:val="001358D8"/>
    <w:rsid w:val="00135D99"/>
    <w:rsid w:val="001361A5"/>
    <w:rsid w:val="00136203"/>
    <w:rsid w:val="00136437"/>
    <w:rsid w:val="0013660E"/>
    <w:rsid w:val="001366F9"/>
    <w:rsid w:val="00136873"/>
    <w:rsid w:val="00137136"/>
    <w:rsid w:val="001372D3"/>
    <w:rsid w:val="001373DA"/>
    <w:rsid w:val="00137791"/>
    <w:rsid w:val="00137AEB"/>
    <w:rsid w:val="00140B2E"/>
    <w:rsid w:val="00140C02"/>
    <w:rsid w:val="0014140C"/>
    <w:rsid w:val="00141525"/>
    <w:rsid w:val="00141807"/>
    <w:rsid w:val="001419E8"/>
    <w:rsid w:val="00141A80"/>
    <w:rsid w:val="00141C28"/>
    <w:rsid w:val="00141C6C"/>
    <w:rsid w:val="0014254A"/>
    <w:rsid w:val="00142725"/>
    <w:rsid w:val="00142BB7"/>
    <w:rsid w:val="00142CA3"/>
    <w:rsid w:val="00142EC1"/>
    <w:rsid w:val="00142FC6"/>
    <w:rsid w:val="00143164"/>
    <w:rsid w:val="0014393F"/>
    <w:rsid w:val="001439BB"/>
    <w:rsid w:val="00143F06"/>
    <w:rsid w:val="00143F54"/>
    <w:rsid w:val="001444B6"/>
    <w:rsid w:val="001444EF"/>
    <w:rsid w:val="00144A49"/>
    <w:rsid w:val="00144BB7"/>
    <w:rsid w:val="0014503F"/>
    <w:rsid w:val="00145243"/>
    <w:rsid w:val="00145A7E"/>
    <w:rsid w:val="00145D1E"/>
    <w:rsid w:val="00145D84"/>
    <w:rsid w:val="00146364"/>
    <w:rsid w:val="0014653F"/>
    <w:rsid w:val="001465BB"/>
    <w:rsid w:val="00146694"/>
    <w:rsid w:val="00146762"/>
    <w:rsid w:val="0014679B"/>
    <w:rsid w:val="001467E9"/>
    <w:rsid w:val="001468AB"/>
    <w:rsid w:val="00146D05"/>
    <w:rsid w:val="00146D91"/>
    <w:rsid w:val="00146DBE"/>
    <w:rsid w:val="00146E03"/>
    <w:rsid w:val="00147376"/>
    <w:rsid w:val="0014749A"/>
    <w:rsid w:val="001477FA"/>
    <w:rsid w:val="001478A6"/>
    <w:rsid w:val="00147A04"/>
    <w:rsid w:val="00147E0F"/>
    <w:rsid w:val="00150055"/>
    <w:rsid w:val="001504D8"/>
    <w:rsid w:val="001507D4"/>
    <w:rsid w:val="00150E79"/>
    <w:rsid w:val="00151504"/>
    <w:rsid w:val="00151F04"/>
    <w:rsid w:val="001527B0"/>
    <w:rsid w:val="00152915"/>
    <w:rsid w:val="00152BF9"/>
    <w:rsid w:val="00153697"/>
    <w:rsid w:val="0015379B"/>
    <w:rsid w:val="001537B2"/>
    <w:rsid w:val="00153922"/>
    <w:rsid w:val="00153D13"/>
    <w:rsid w:val="00153E71"/>
    <w:rsid w:val="001541D0"/>
    <w:rsid w:val="001547B8"/>
    <w:rsid w:val="0015493A"/>
    <w:rsid w:val="0015493F"/>
    <w:rsid w:val="00154C82"/>
    <w:rsid w:val="00154CE9"/>
    <w:rsid w:val="00154F55"/>
    <w:rsid w:val="001551BF"/>
    <w:rsid w:val="00155628"/>
    <w:rsid w:val="00155777"/>
    <w:rsid w:val="00155CB6"/>
    <w:rsid w:val="00155CDC"/>
    <w:rsid w:val="00156125"/>
    <w:rsid w:val="00156379"/>
    <w:rsid w:val="00156AE5"/>
    <w:rsid w:val="00156BA5"/>
    <w:rsid w:val="00156F3B"/>
    <w:rsid w:val="00157132"/>
    <w:rsid w:val="0015738E"/>
    <w:rsid w:val="00157613"/>
    <w:rsid w:val="00157EB2"/>
    <w:rsid w:val="00160119"/>
    <w:rsid w:val="0016027F"/>
    <w:rsid w:val="0016037C"/>
    <w:rsid w:val="0016085C"/>
    <w:rsid w:val="001609AB"/>
    <w:rsid w:val="00160ABD"/>
    <w:rsid w:val="00160E88"/>
    <w:rsid w:val="0016125C"/>
    <w:rsid w:val="0016142A"/>
    <w:rsid w:val="0016171A"/>
    <w:rsid w:val="00161911"/>
    <w:rsid w:val="0016192F"/>
    <w:rsid w:val="0016196C"/>
    <w:rsid w:val="00161A02"/>
    <w:rsid w:val="00161B05"/>
    <w:rsid w:val="00161C91"/>
    <w:rsid w:val="00162156"/>
    <w:rsid w:val="00162BBF"/>
    <w:rsid w:val="00162CDD"/>
    <w:rsid w:val="00162FAC"/>
    <w:rsid w:val="00162FFA"/>
    <w:rsid w:val="001631D0"/>
    <w:rsid w:val="00163557"/>
    <w:rsid w:val="001637BD"/>
    <w:rsid w:val="00163C9E"/>
    <w:rsid w:val="00163E67"/>
    <w:rsid w:val="00163E6B"/>
    <w:rsid w:val="0016469A"/>
    <w:rsid w:val="00164A55"/>
    <w:rsid w:val="00164C60"/>
    <w:rsid w:val="00165083"/>
    <w:rsid w:val="001653F8"/>
    <w:rsid w:val="00165F6A"/>
    <w:rsid w:val="0016623F"/>
    <w:rsid w:val="00166906"/>
    <w:rsid w:val="00166A84"/>
    <w:rsid w:val="00166F53"/>
    <w:rsid w:val="00167523"/>
    <w:rsid w:val="00167A47"/>
    <w:rsid w:val="00170552"/>
    <w:rsid w:val="00170591"/>
    <w:rsid w:val="00170816"/>
    <w:rsid w:val="00170968"/>
    <w:rsid w:val="00170F87"/>
    <w:rsid w:val="0017108E"/>
    <w:rsid w:val="001710A4"/>
    <w:rsid w:val="00171133"/>
    <w:rsid w:val="0017153C"/>
    <w:rsid w:val="00171772"/>
    <w:rsid w:val="00172183"/>
    <w:rsid w:val="0017228B"/>
    <w:rsid w:val="001723AD"/>
    <w:rsid w:val="001724AF"/>
    <w:rsid w:val="001735E3"/>
    <w:rsid w:val="0017363F"/>
    <w:rsid w:val="00173A60"/>
    <w:rsid w:val="00173C9C"/>
    <w:rsid w:val="00173ED8"/>
    <w:rsid w:val="00174071"/>
    <w:rsid w:val="001740C3"/>
    <w:rsid w:val="001745A4"/>
    <w:rsid w:val="00174734"/>
    <w:rsid w:val="00174779"/>
    <w:rsid w:val="00174DB8"/>
    <w:rsid w:val="00174EFE"/>
    <w:rsid w:val="0017523F"/>
    <w:rsid w:val="001755F7"/>
    <w:rsid w:val="00175987"/>
    <w:rsid w:val="001762EC"/>
    <w:rsid w:val="0017669A"/>
    <w:rsid w:val="00176716"/>
    <w:rsid w:val="0017697B"/>
    <w:rsid w:val="00176CB1"/>
    <w:rsid w:val="00176D27"/>
    <w:rsid w:val="00177494"/>
    <w:rsid w:val="001779D0"/>
    <w:rsid w:val="001801A7"/>
    <w:rsid w:val="001806C8"/>
    <w:rsid w:val="00180947"/>
    <w:rsid w:val="00181042"/>
    <w:rsid w:val="0018114C"/>
    <w:rsid w:val="001811DD"/>
    <w:rsid w:val="00181619"/>
    <w:rsid w:val="00181647"/>
    <w:rsid w:val="00181917"/>
    <w:rsid w:val="001819C4"/>
    <w:rsid w:val="00182028"/>
    <w:rsid w:val="0018224B"/>
    <w:rsid w:val="001822FB"/>
    <w:rsid w:val="001823B0"/>
    <w:rsid w:val="001823B2"/>
    <w:rsid w:val="00182429"/>
    <w:rsid w:val="00182DDF"/>
    <w:rsid w:val="00182DF0"/>
    <w:rsid w:val="001830B8"/>
    <w:rsid w:val="00183482"/>
    <w:rsid w:val="00183689"/>
    <w:rsid w:val="00183C1B"/>
    <w:rsid w:val="00183F25"/>
    <w:rsid w:val="00183F3F"/>
    <w:rsid w:val="00184119"/>
    <w:rsid w:val="001841F9"/>
    <w:rsid w:val="001847AB"/>
    <w:rsid w:val="00184FE6"/>
    <w:rsid w:val="001851B9"/>
    <w:rsid w:val="001851F3"/>
    <w:rsid w:val="001855F0"/>
    <w:rsid w:val="001856BB"/>
    <w:rsid w:val="00185983"/>
    <w:rsid w:val="00185F43"/>
    <w:rsid w:val="001861DA"/>
    <w:rsid w:val="001863A8"/>
    <w:rsid w:val="0018682B"/>
    <w:rsid w:val="00186879"/>
    <w:rsid w:val="00186CFA"/>
    <w:rsid w:val="00187211"/>
    <w:rsid w:val="00187B30"/>
    <w:rsid w:val="00187CEF"/>
    <w:rsid w:val="00187F06"/>
    <w:rsid w:val="00187F82"/>
    <w:rsid w:val="00190033"/>
    <w:rsid w:val="00190866"/>
    <w:rsid w:val="00190A82"/>
    <w:rsid w:val="00190EE1"/>
    <w:rsid w:val="00190F59"/>
    <w:rsid w:val="00191029"/>
    <w:rsid w:val="001911CB"/>
    <w:rsid w:val="001914B3"/>
    <w:rsid w:val="00191804"/>
    <w:rsid w:val="001918D7"/>
    <w:rsid w:val="00191C21"/>
    <w:rsid w:val="00191EE5"/>
    <w:rsid w:val="00192211"/>
    <w:rsid w:val="00192397"/>
    <w:rsid w:val="00192455"/>
    <w:rsid w:val="00192718"/>
    <w:rsid w:val="00192C97"/>
    <w:rsid w:val="00193135"/>
    <w:rsid w:val="0019340A"/>
    <w:rsid w:val="001934CE"/>
    <w:rsid w:val="00193699"/>
    <w:rsid w:val="001936CF"/>
    <w:rsid w:val="0019445E"/>
    <w:rsid w:val="001963DF"/>
    <w:rsid w:val="0019649B"/>
    <w:rsid w:val="00196508"/>
    <w:rsid w:val="00196848"/>
    <w:rsid w:val="00196ADD"/>
    <w:rsid w:val="00196CD6"/>
    <w:rsid w:val="00196D30"/>
    <w:rsid w:val="00196DE7"/>
    <w:rsid w:val="001972A4"/>
    <w:rsid w:val="0019731D"/>
    <w:rsid w:val="001975D3"/>
    <w:rsid w:val="001976A1"/>
    <w:rsid w:val="001A0249"/>
    <w:rsid w:val="001A02C3"/>
    <w:rsid w:val="001A085E"/>
    <w:rsid w:val="001A0BF6"/>
    <w:rsid w:val="001A11E3"/>
    <w:rsid w:val="001A11F0"/>
    <w:rsid w:val="001A1251"/>
    <w:rsid w:val="001A143C"/>
    <w:rsid w:val="001A1846"/>
    <w:rsid w:val="001A1C0D"/>
    <w:rsid w:val="001A1D21"/>
    <w:rsid w:val="001A1D64"/>
    <w:rsid w:val="001A1DD2"/>
    <w:rsid w:val="001A28C7"/>
    <w:rsid w:val="001A2DE6"/>
    <w:rsid w:val="001A3355"/>
    <w:rsid w:val="001A3441"/>
    <w:rsid w:val="001A3FBC"/>
    <w:rsid w:val="001A46DF"/>
    <w:rsid w:val="001A47AA"/>
    <w:rsid w:val="001A492C"/>
    <w:rsid w:val="001A4AA2"/>
    <w:rsid w:val="001A58F2"/>
    <w:rsid w:val="001A5E64"/>
    <w:rsid w:val="001A5F95"/>
    <w:rsid w:val="001A5FD7"/>
    <w:rsid w:val="001A6401"/>
    <w:rsid w:val="001A657D"/>
    <w:rsid w:val="001A6CB9"/>
    <w:rsid w:val="001A6F29"/>
    <w:rsid w:val="001A700D"/>
    <w:rsid w:val="001A7052"/>
    <w:rsid w:val="001A7108"/>
    <w:rsid w:val="001A725F"/>
    <w:rsid w:val="001A770A"/>
    <w:rsid w:val="001A7741"/>
    <w:rsid w:val="001A7A73"/>
    <w:rsid w:val="001A7C2A"/>
    <w:rsid w:val="001A7C93"/>
    <w:rsid w:val="001A7CD9"/>
    <w:rsid w:val="001B012E"/>
    <w:rsid w:val="001B032F"/>
    <w:rsid w:val="001B067B"/>
    <w:rsid w:val="001B0768"/>
    <w:rsid w:val="001B0BD2"/>
    <w:rsid w:val="001B0CFA"/>
    <w:rsid w:val="001B13A5"/>
    <w:rsid w:val="001B164E"/>
    <w:rsid w:val="001B1743"/>
    <w:rsid w:val="001B1829"/>
    <w:rsid w:val="001B18C6"/>
    <w:rsid w:val="001B196E"/>
    <w:rsid w:val="001B1F7F"/>
    <w:rsid w:val="001B2047"/>
    <w:rsid w:val="001B24BA"/>
    <w:rsid w:val="001B2540"/>
    <w:rsid w:val="001B25C0"/>
    <w:rsid w:val="001B263F"/>
    <w:rsid w:val="001B2BAA"/>
    <w:rsid w:val="001B317A"/>
    <w:rsid w:val="001B319C"/>
    <w:rsid w:val="001B3284"/>
    <w:rsid w:val="001B4143"/>
    <w:rsid w:val="001B462A"/>
    <w:rsid w:val="001B4806"/>
    <w:rsid w:val="001B4A68"/>
    <w:rsid w:val="001B4C0B"/>
    <w:rsid w:val="001B4E4E"/>
    <w:rsid w:val="001B4F40"/>
    <w:rsid w:val="001B532B"/>
    <w:rsid w:val="001B53A1"/>
    <w:rsid w:val="001B5A63"/>
    <w:rsid w:val="001B5CA6"/>
    <w:rsid w:val="001B5E94"/>
    <w:rsid w:val="001B69BC"/>
    <w:rsid w:val="001B6A60"/>
    <w:rsid w:val="001B6FD4"/>
    <w:rsid w:val="001B7735"/>
    <w:rsid w:val="001B7A85"/>
    <w:rsid w:val="001B7BFA"/>
    <w:rsid w:val="001B7DA3"/>
    <w:rsid w:val="001B7FBE"/>
    <w:rsid w:val="001C0181"/>
    <w:rsid w:val="001C0289"/>
    <w:rsid w:val="001C0593"/>
    <w:rsid w:val="001C0842"/>
    <w:rsid w:val="001C0DDD"/>
    <w:rsid w:val="001C11C2"/>
    <w:rsid w:val="001C134A"/>
    <w:rsid w:val="001C2088"/>
    <w:rsid w:val="001C2294"/>
    <w:rsid w:val="001C2667"/>
    <w:rsid w:val="001C2857"/>
    <w:rsid w:val="001C29D3"/>
    <w:rsid w:val="001C2C73"/>
    <w:rsid w:val="001C2C7C"/>
    <w:rsid w:val="001C2D6C"/>
    <w:rsid w:val="001C2ED6"/>
    <w:rsid w:val="001C3961"/>
    <w:rsid w:val="001C3A4A"/>
    <w:rsid w:val="001C3F3C"/>
    <w:rsid w:val="001C400C"/>
    <w:rsid w:val="001C434D"/>
    <w:rsid w:val="001C436C"/>
    <w:rsid w:val="001C4479"/>
    <w:rsid w:val="001C44B5"/>
    <w:rsid w:val="001C4D8D"/>
    <w:rsid w:val="001C50BE"/>
    <w:rsid w:val="001C50C9"/>
    <w:rsid w:val="001C50FD"/>
    <w:rsid w:val="001C519F"/>
    <w:rsid w:val="001C5701"/>
    <w:rsid w:val="001C609D"/>
    <w:rsid w:val="001C6615"/>
    <w:rsid w:val="001C6692"/>
    <w:rsid w:val="001C6861"/>
    <w:rsid w:val="001C6CBD"/>
    <w:rsid w:val="001C71EC"/>
    <w:rsid w:val="001C738A"/>
    <w:rsid w:val="001C77DA"/>
    <w:rsid w:val="001C7802"/>
    <w:rsid w:val="001C7EA4"/>
    <w:rsid w:val="001C7F24"/>
    <w:rsid w:val="001D0022"/>
    <w:rsid w:val="001D04CE"/>
    <w:rsid w:val="001D06D1"/>
    <w:rsid w:val="001D0780"/>
    <w:rsid w:val="001D0A12"/>
    <w:rsid w:val="001D0B79"/>
    <w:rsid w:val="001D0C03"/>
    <w:rsid w:val="001D1436"/>
    <w:rsid w:val="001D196B"/>
    <w:rsid w:val="001D265F"/>
    <w:rsid w:val="001D2AB7"/>
    <w:rsid w:val="001D2D5D"/>
    <w:rsid w:val="001D2F23"/>
    <w:rsid w:val="001D3612"/>
    <w:rsid w:val="001D3BE3"/>
    <w:rsid w:val="001D3D05"/>
    <w:rsid w:val="001D3E4C"/>
    <w:rsid w:val="001D3E96"/>
    <w:rsid w:val="001D3EE3"/>
    <w:rsid w:val="001D41B7"/>
    <w:rsid w:val="001D4661"/>
    <w:rsid w:val="001D47AD"/>
    <w:rsid w:val="001D4C27"/>
    <w:rsid w:val="001D50A0"/>
    <w:rsid w:val="001D51B7"/>
    <w:rsid w:val="001D52D7"/>
    <w:rsid w:val="001D5853"/>
    <w:rsid w:val="001D5DF5"/>
    <w:rsid w:val="001D5EF6"/>
    <w:rsid w:val="001D5F5C"/>
    <w:rsid w:val="001D6650"/>
    <w:rsid w:val="001D6A94"/>
    <w:rsid w:val="001D6ACC"/>
    <w:rsid w:val="001D6BC8"/>
    <w:rsid w:val="001D6CD9"/>
    <w:rsid w:val="001D6E3A"/>
    <w:rsid w:val="001D6F95"/>
    <w:rsid w:val="001D7193"/>
    <w:rsid w:val="001D7419"/>
    <w:rsid w:val="001D76D3"/>
    <w:rsid w:val="001D7B21"/>
    <w:rsid w:val="001D7FBC"/>
    <w:rsid w:val="001E0200"/>
    <w:rsid w:val="001E03CA"/>
    <w:rsid w:val="001E0688"/>
    <w:rsid w:val="001E08B5"/>
    <w:rsid w:val="001E1032"/>
    <w:rsid w:val="001E1066"/>
    <w:rsid w:val="001E13F9"/>
    <w:rsid w:val="001E15BA"/>
    <w:rsid w:val="001E1843"/>
    <w:rsid w:val="001E1B35"/>
    <w:rsid w:val="001E1C5C"/>
    <w:rsid w:val="001E22A3"/>
    <w:rsid w:val="001E245F"/>
    <w:rsid w:val="001E249C"/>
    <w:rsid w:val="001E27E6"/>
    <w:rsid w:val="001E2BCE"/>
    <w:rsid w:val="001E2C9E"/>
    <w:rsid w:val="001E308F"/>
    <w:rsid w:val="001E372C"/>
    <w:rsid w:val="001E3862"/>
    <w:rsid w:val="001E3CE6"/>
    <w:rsid w:val="001E4952"/>
    <w:rsid w:val="001E5300"/>
    <w:rsid w:val="001E532F"/>
    <w:rsid w:val="001E5B6D"/>
    <w:rsid w:val="001E5DA8"/>
    <w:rsid w:val="001E5ECE"/>
    <w:rsid w:val="001E66A9"/>
    <w:rsid w:val="001E67FB"/>
    <w:rsid w:val="001E69DA"/>
    <w:rsid w:val="001E6B71"/>
    <w:rsid w:val="001E74B6"/>
    <w:rsid w:val="001E760A"/>
    <w:rsid w:val="001E76C0"/>
    <w:rsid w:val="001E775D"/>
    <w:rsid w:val="001E79B3"/>
    <w:rsid w:val="001E7F05"/>
    <w:rsid w:val="001F072F"/>
    <w:rsid w:val="001F0B04"/>
    <w:rsid w:val="001F0CF4"/>
    <w:rsid w:val="001F0FF7"/>
    <w:rsid w:val="001F10B5"/>
    <w:rsid w:val="001F10FD"/>
    <w:rsid w:val="001F15C8"/>
    <w:rsid w:val="001F1759"/>
    <w:rsid w:val="001F19D5"/>
    <w:rsid w:val="001F1A9D"/>
    <w:rsid w:val="001F1FA5"/>
    <w:rsid w:val="001F27B5"/>
    <w:rsid w:val="001F2A69"/>
    <w:rsid w:val="001F2AF0"/>
    <w:rsid w:val="001F2ECB"/>
    <w:rsid w:val="001F3661"/>
    <w:rsid w:val="001F368C"/>
    <w:rsid w:val="001F36C8"/>
    <w:rsid w:val="001F3964"/>
    <w:rsid w:val="001F3EB7"/>
    <w:rsid w:val="001F3FE9"/>
    <w:rsid w:val="001F400E"/>
    <w:rsid w:val="001F4328"/>
    <w:rsid w:val="001F47A8"/>
    <w:rsid w:val="001F4D4B"/>
    <w:rsid w:val="001F516F"/>
    <w:rsid w:val="001F528D"/>
    <w:rsid w:val="001F52F7"/>
    <w:rsid w:val="001F5819"/>
    <w:rsid w:val="001F5AE4"/>
    <w:rsid w:val="001F5D6E"/>
    <w:rsid w:val="001F66B0"/>
    <w:rsid w:val="001F67A0"/>
    <w:rsid w:val="001F7249"/>
    <w:rsid w:val="001F76DA"/>
    <w:rsid w:val="001F7742"/>
    <w:rsid w:val="001F7EAB"/>
    <w:rsid w:val="002003DB"/>
    <w:rsid w:val="002003EB"/>
    <w:rsid w:val="00200B18"/>
    <w:rsid w:val="00201504"/>
    <w:rsid w:val="002016D5"/>
    <w:rsid w:val="002018C2"/>
    <w:rsid w:val="0020192D"/>
    <w:rsid w:val="00201DEF"/>
    <w:rsid w:val="00201FEF"/>
    <w:rsid w:val="002021F8"/>
    <w:rsid w:val="0020239F"/>
    <w:rsid w:val="00202A58"/>
    <w:rsid w:val="00202A89"/>
    <w:rsid w:val="0020348A"/>
    <w:rsid w:val="002041CC"/>
    <w:rsid w:val="002044B2"/>
    <w:rsid w:val="002046D9"/>
    <w:rsid w:val="002047EB"/>
    <w:rsid w:val="002049AF"/>
    <w:rsid w:val="002049C5"/>
    <w:rsid w:val="00204A2F"/>
    <w:rsid w:val="002056A9"/>
    <w:rsid w:val="002059FD"/>
    <w:rsid w:val="00205BD4"/>
    <w:rsid w:val="00206072"/>
    <w:rsid w:val="002068F9"/>
    <w:rsid w:val="00206935"/>
    <w:rsid w:val="00207412"/>
    <w:rsid w:val="002076CC"/>
    <w:rsid w:val="00207BD5"/>
    <w:rsid w:val="00207E30"/>
    <w:rsid w:val="00210026"/>
    <w:rsid w:val="0021014C"/>
    <w:rsid w:val="002101AF"/>
    <w:rsid w:val="00210C35"/>
    <w:rsid w:val="00210ECD"/>
    <w:rsid w:val="00210FEE"/>
    <w:rsid w:val="002111B1"/>
    <w:rsid w:val="002111CE"/>
    <w:rsid w:val="00211851"/>
    <w:rsid w:val="00211980"/>
    <w:rsid w:val="00211F95"/>
    <w:rsid w:val="00211FA6"/>
    <w:rsid w:val="00211FB5"/>
    <w:rsid w:val="0021215F"/>
    <w:rsid w:val="002122BB"/>
    <w:rsid w:val="0021256B"/>
    <w:rsid w:val="00212720"/>
    <w:rsid w:val="00212F47"/>
    <w:rsid w:val="00213093"/>
    <w:rsid w:val="00213196"/>
    <w:rsid w:val="00213463"/>
    <w:rsid w:val="002138BC"/>
    <w:rsid w:val="002139ED"/>
    <w:rsid w:val="00213E54"/>
    <w:rsid w:val="002141BA"/>
    <w:rsid w:val="002148F4"/>
    <w:rsid w:val="00214DE8"/>
    <w:rsid w:val="00214FC0"/>
    <w:rsid w:val="002151E7"/>
    <w:rsid w:val="002153F4"/>
    <w:rsid w:val="002157FA"/>
    <w:rsid w:val="00215990"/>
    <w:rsid w:val="00215997"/>
    <w:rsid w:val="00215A65"/>
    <w:rsid w:val="002162FF"/>
    <w:rsid w:val="002167DC"/>
    <w:rsid w:val="00216FE8"/>
    <w:rsid w:val="002171BE"/>
    <w:rsid w:val="00217451"/>
    <w:rsid w:val="00217659"/>
    <w:rsid w:val="00217927"/>
    <w:rsid w:val="00217A1C"/>
    <w:rsid w:val="00217CDD"/>
    <w:rsid w:val="00217F26"/>
    <w:rsid w:val="00217FC9"/>
    <w:rsid w:val="00220273"/>
    <w:rsid w:val="00220331"/>
    <w:rsid w:val="002204A5"/>
    <w:rsid w:val="00220914"/>
    <w:rsid w:val="00220A38"/>
    <w:rsid w:val="00220D29"/>
    <w:rsid w:val="002214AA"/>
    <w:rsid w:val="00221A52"/>
    <w:rsid w:val="00221CF5"/>
    <w:rsid w:val="002220E7"/>
    <w:rsid w:val="002226BE"/>
    <w:rsid w:val="00222847"/>
    <w:rsid w:val="00222B89"/>
    <w:rsid w:val="00222C47"/>
    <w:rsid w:val="00222D20"/>
    <w:rsid w:val="00222DC3"/>
    <w:rsid w:val="00222F65"/>
    <w:rsid w:val="00223162"/>
    <w:rsid w:val="002238AA"/>
    <w:rsid w:val="00223A6F"/>
    <w:rsid w:val="00223C22"/>
    <w:rsid w:val="00223C65"/>
    <w:rsid w:val="00224284"/>
    <w:rsid w:val="0022472F"/>
    <w:rsid w:val="00224AF5"/>
    <w:rsid w:val="00224D7C"/>
    <w:rsid w:val="00224DC1"/>
    <w:rsid w:val="00224E12"/>
    <w:rsid w:val="00225479"/>
    <w:rsid w:val="00225814"/>
    <w:rsid w:val="00225895"/>
    <w:rsid w:val="00225E29"/>
    <w:rsid w:val="00225F10"/>
    <w:rsid w:val="00225F83"/>
    <w:rsid w:val="002266EF"/>
    <w:rsid w:val="00226AF4"/>
    <w:rsid w:val="00226BDF"/>
    <w:rsid w:val="00226FE7"/>
    <w:rsid w:val="002270F6"/>
    <w:rsid w:val="002273CC"/>
    <w:rsid w:val="0022741E"/>
    <w:rsid w:val="0022786A"/>
    <w:rsid w:val="002279E2"/>
    <w:rsid w:val="00227EF4"/>
    <w:rsid w:val="0023007C"/>
    <w:rsid w:val="002307B1"/>
    <w:rsid w:val="002310A6"/>
    <w:rsid w:val="0023130D"/>
    <w:rsid w:val="002315CD"/>
    <w:rsid w:val="00231B31"/>
    <w:rsid w:val="00231BCB"/>
    <w:rsid w:val="00231CF3"/>
    <w:rsid w:val="00231E35"/>
    <w:rsid w:val="002321A7"/>
    <w:rsid w:val="002321E6"/>
    <w:rsid w:val="00232433"/>
    <w:rsid w:val="0023270F"/>
    <w:rsid w:val="00232DB2"/>
    <w:rsid w:val="002333A3"/>
    <w:rsid w:val="002333B5"/>
    <w:rsid w:val="00233517"/>
    <w:rsid w:val="00233655"/>
    <w:rsid w:val="002338FA"/>
    <w:rsid w:val="00233DBC"/>
    <w:rsid w:val="00234111"/>
    <w:rsid w:val="00234301"/>
    <w:rsid w:val="00234624"/>
    <w:rsid w:val="002347D0"/>
    <w:rsid w:val="00234A1C"/>
    <w:rsid w:val="00234FCC"/>
    <w:rsid w:val="00235456"/>
    <w:rsid w:val="00235566"/>
    <w:rsid w:val="00235629"/>
    <w:rsid w:val="00235903"/>
    <w:rsid w:val="00235AC2"/>
    <w:rsid w:val="00235BA0"/>
    <w:rsid w:val="00235E9D"/>
    <w:rsid w:val="00235F82"/>
    <w:rsid w:val="0023618F"/>
    <w:rsid w:val="00236B08"/>
    <w:rsid w:val="00236BA1"/>
    <w:rsid w:val="00236DD9"/>
    <w:rsid w:val="00236E1D"/>
    <w:rsid w:val="00237099"/>
    <w:rsid w:val="002370D2"/>
    <w:rsid w:val="002372A4"/>
    <w:rsid w:val="0023751C"/>
    <w:rsid w:val="002375A5"/>
    <w:rsid w:val="00237765"/>
    <w:rsid w:val="00237B91"/>
    <w:rsid w:val="00237EA7"/>
    <w:rsid w:val="00237FCE"/>
    <w:rsid w:val="0024053E"/>
    <w:rsid w:val="00240D67"/>
    <w:rsid w:val="00241124"/>
    <w:rsid w:val="0024146F"/>
    <w:rsid w:val="0024189F"/>
    <w:rsid w:val="002423D8"/>
    <w:rsid w:val="0024248B"/>
    <w:rsid w:val="00242560"/>
    <w:rsid w:val="0024261F"/>
    <w:rsid w:val="002427D6"/>
    <w:rsid w:val="00242A71"/>
    <w:rsid w:val="00242C19"/>
    <w:rsid w:val="00242D98"/>
    <w:rsid w:val="00243068"/>
    <w:rsid w:val="0024315A"/>
    <w:rsid w:val="00243503"/>
    <w:rsid w:val="002438C1"/>
    <w:rsid w:val="002438DE"/>
    <w:rsid w:val="00243A25"/>
    <w:rsid w:val="00243C15"/>
    <w:rsid w:val="00243C3C"/>
    <w:rsid w:val="00243CB1"/>
    <w:rsid w:val="00244466"/>
    <w:rsid w:val="0024531E"/>
    <w:rsid w:val="002454B4"/>
    <w:rsid w:val="002454F1"/>
    <w:rsid w:val="00245B80"/>
    <w:rsid w:val="00246689"/>
    <w:rsid w:val="0024697E"/>
    <w:rsid w:val="002469B8"/>
    <w:rsid w:val="00246B6E"/>
    <w:rsid w:val="00246E03"/>
    <w:rsid w:val="00247304"/>
    <w:rsid w:val="002478D5"/>
    <w:rsid w:val="00247AF3"/>
    <w:rsid w:val="00247D95"/>
    <w:rsid w:val="00247DBB"/>
    <w:rsid w:val="00250251"/>
    <w:rsid w:val="0025027E"/>
    <w:rsid w:val="002502C5"/>
    <w:rsid w:val="00250677"/>
    <w:rsid w:val="00250A91"/>
    <w:rsid w:val="00250CD0"/>
    <w:rsid w:val="002510EB"/>
    <w:rsid w:val="00251114"/>
    <w:rsid w:val="00251521"/>
    <w:rsid w:val="002516B8"/>
    <w:rsid w:val="002518E5"/>
    <w:rsid w:val="00252047"/>
    <w:rsid w:val="0025231C"/>
    <w:rsid w:val="00252B6D"/>
    <w:rsid w:val="00253BE0"/>
    <w:rsid w:val="00253D22"/>
    <w:rsid w:val="0025419F"/>
    <w:rsid w:val="00254410"/>
    <w:rsid w:val="0025453A"/>
    <w:rsid w:val="00254774"/>
    <w:rsid w:val="002548B9"/>
    <w:rsid w:val="0025492F"/>
    <w:rsid w:val="00254A71"/>
    <w:rsid w:val="00254BD5"/>
    <w:rsid w:val="00254CEE"/>
    <w:rsid w:val="00254DCF"/>
    <w:rsid w:val="00255042"/>
    <w:rsid w:val="002554CB"/>
    <w:rsid w:val="0025564F"/>
    <w:rsid w:val="00255732"/>
    <w:rsid w:val="00255DA9"/>
    <w:rsid w:val="00256206"/>
    <w:rsid w:val="00256784"/>
    <w:rsid w:val="00256C55"/>
    <w:rsid w:val="0025727D"/>
    <w:rsid w:val="00257491"/>
    <w:rsid w:val="002579C0"/>
    <w:rsid w:val="002579F2"/>
    <w:rsid w:val="00257AC5"/>
    <w:rsid w:val="00257DD3"/>
    <w:rsid w:val="00260067"/>
    <w:rsid w:val="002600CE"/>
    <w:rsid w:val="002610CE"/>
    <w:rsid w:val="00261135"/>
    <w:rsid w:val="0026123D"/>
    <w:rsid w:val="002616E8"/>
    <w:rsid w:val="0026183E"/>
    <w:rsid w:val="00261A42"/>
    <w:rsid w:val="00262754"/>
    <w:rsid w:val="00262EF6"/>
    <w:rsid w:val="00263098"/>
    <w:rsid w:val="0026326B"/>
    <w:rsid w:val="002634AB"/>
    <w:rsid w:val="002634B4"/>
    <w:rsid w:val="002634F1"/>
    <w:rsid w:val="002635CA"/>
    <w:rsid w:val="00263735"/>
    <w:rsid w:val="002639C7"/>
    <w:rsid w:val="00263D00"/>
    <w:rsid w:val="00263DA4"/>
    <w:rsid w:val="00263FA8"/>
    <w:rsid w:val="00264079"/>
    <w:rsid w:val="002640AC"/>
    <w:rsid w:val="002640E6"/>
    <w:rsid w:val="00264228"/>
    <w:rsid w:val="002645E7"/>
    <w:rsid w:val="0026466C"/>
    <w:rsid w:val="00264770"/>
    <w:rsid w:val="00264E45"/>
    <w:rsid w:val="00264FC5"/>
    <w:rsid w:val="00265503"/>
    <w:rsid w:val="0026570A"/>
    <w:rsid w:val="0026591E"/>
    <w:rsid w:val="00266019"/>
    <w:rsid w:val="002662F3"/>
    <w:rsid w:val="0026640B"/>
    <w:rsid w:val="002666FC"/>
    <w:rsid w:val="00266830"/>
    <w:rsid w:val="002669B7"/>
    <w:rsid w:val="00266A42"/>
    <w:rsid w:val="00266BCE"/>
    <w:rsid w:val="0026749D"/>
    <w:rsid w:val="0026768C"/>
    <w:rsid w:val="002677B8"/>
    <w:rsid w:val="002677D2"/>
    <w:rsid w:val="00267D6B"/>
    <w:rsid w:val="00267D9D"/>
    <w:rsid w:val="00267FA3"/>
    <w:rsid w:val="0027073B"/>
    <w:rsid w:val="00270BF1"/>
    <w:rsid w:val="00271466"/>
    <w:rsid w:val="00271BA5"/>
    <w:rsid w:val="00271BAB"/>
    <w:rsid w:val="002720D4"/>
    <w:rsid w:val="002722DC"/>
    <w:rsid w:val="00272457"/>
    <w:rsid w:val="0027296A"/>
    <w:rsid w:val="00272B4A"/>
    <w:rsid w:val="002732A6"/>
    <w:rsid w:val="002733DC"/>
    <w:rsid w:val="0027351A"/>
    <w:rsid w:val="00273524"/>
    <w:rsid w:val="00273851"/>
    <w:rsid w:val="00273C7D"/>
    <w:rsid w:val="00273D49"/>
    <w:rsid w:val="00274210"/>
    <w:rsid w:val="002742F5"/>
    <w:rsid w:val="00274673"/>
    <w:rsid w:val="00274D92"/>
    <w:rsid w:val="0027515A"/>
    <w:rsid w:val="0027542E"/>
    <w:rsid w:val="0027570A"/>
    <w:rsid w:val="0027580F"/>
    <w:rsid w:val="00275DAF"/>
    <w:rsid w:val="00275E26"/>
    <w:rsid w:val="00275E72"/>
    <w:rsid w:val="00276012"/>
    <w:rsid w:val="0027630E"/>
    <w:rsid w:val="00276444"/>
    <w:rsid w:val="00276970"/>
    <w:rsid w:val="00276EA3"/>
    <w:rsid w:val="00276F3A"/>
    <w:rsid w:val="002771F5"/>
    <w:rsid w:val="00277291"/>
    <w:rsid w:val="0028008D"/>
    <w:rsid w:val="002807B3"/>
    <w:rsid w:val="00280836"/>
    <w:rsid w:val="00281891"/>
    <w:rsid w:val="00281A7E"/>
    <w:rsid w:val="00282601"/>
    <w:rsid w:val="00282B83"/>
    <w:rsid w:val="00282E40"/>
    <w:rsid w:val="00283375"/>
    <w:rsid w:val="0028430B"/>
    <w:rsid w:val="0028438C"/>
    <w:rsid w:val="0028489C"/>
    <w:rsid w:val="00284C0B"/>
    <w:rsid w:val="00284E5D"/>
    <w:rsid w:val="00284E6E"/>
    <w:rsid w:val="0028520E"/>
    <w:rsid w:val="002852EE"/>
    <w:rsid w:val="002855E6"/>
    <w:rsid w:val="00285ADB"/>
    <w:rsid w:val="00285D41"/>
    <w:rsid w:val="00285DC6"/>
    <w:rsid w:val="00286092"/>
    <w:rsid w:val="00286ABA"/>
    <w:rsid w:val="00286DBE"/>
    <w:rsid w:val="00286F3D"/>
    <w:rsid w:val="00286F4A"/>
    <w:rsid w:val="0028701F"/>
    <w:rsid w:val="0028727F"/>
    <w:rsid w:val="00287520"/>
    <w:rsid w:val="0028789A"/>
    <w:rsid w:val="00287E7E"/>
    <w:rsid w:val="00287FD2"/>
    <w:rsid w:val="00290045"/>
    <w:rsid w:val="00290803"/>
    <w:rsid w:val="00290E38"/>
    <w:rsid w:val="00290EE5"/>
    <w:rsid w:val="00290FB4"/>
    <w:rsid w:val="002911B6"/>
    <w:rsid w:val="002915B0"/>
    <w:rsid w:val="00291787"/>
    <w:rsid w:val="00291BD6"/>
    <w:rsid w:val="002924D5"/>
    <w:rsid w:val="002928F5"/>
    <w:rsid w:val="00292913"/>
    <w:rsid w:val="00292DF6"/>
    <w:rsid w:val="00293282"/>
    <w:rsid w:val="00293406"/>
    <w:rsid w:val="00293538"/>
    <w:rsid w:val="00294521"/>
    <w:rsid w:val="00294632"/>
    <w:rsid w:val="002950A3"/>
    <w:rsid w:val="002950E4"/>
    <w:rsid w:val="002952B1"/>
    <w:rsid w:val="002959CA"/>
    <w:rsid w:val="00295D2C"/>
    <w:rsid w:val="00295E71"/>
    <w:rsid w:val="00295E91"/>
    <w:rsid w:val="0029667A"/>
    <w:rsid w:val="00296781"/>
    <w:rsid w:val="00296903"/>
    <w:rsid w:val="00296BB3"/>
    <w:rsid w:val="00296DB4"/>
    <w:rsid w:val="00296F58"/>
    <w:rsid w:val="0029722E"/>
    <w:rsid w:val="00297395"/>
    <w:rsid w:val="002976A3"/>
    <w:rsid w:val="002979F8"/>
    <w:rsid w:val="00297C72"/>
    <w:rsid w:val="00297E26"/>
    <w:rsid w:val="002A016D"/>
    <w:rsid w:val="002A0260"/>
    <w:rsid w:val="002A0354"/>
    <w:rsid w:val="002A0626"/>
    <w:rsid w:val="002A080D"/>
    <w:rsid w:val="002A10E2"/>
    <w:rsid w:val="002A133B"/>
    <w:rsid w:val="002A154B"/>
    <w:rsid w:val="002A1704"/>
    <w:rsid w:val="002A188D"/>
    <w:rsid w:val="002A19B6"/>
    <w:rsid w:val="002A2739"/>
    <w:rsid w:val="002A30B1"/>
    <w:rsid w:val="002A32BA"/>
    <w:rsid w:val="002A32D3"/>
    <w:rsid w:val="002A4375"/>
    <w:rsid w:val="002A4664"/>
    <w:rsid w:val="002A49A4"/>
    <w:rsid w:val="002A524A"/>
    <w:rsid w:val="002A5641"/>
    <w:rsid w:val="002A56F9"/>
    <w:rsid w:val="002A58EF"/>
    <w:rsid w:val="002A5AA9"/>
    <w:rsid w:val="002A6829"/>
    <w:rsid w:val="002A6F1D"/>
    <w:rsid w:val="002A7172"/>
    <w:rsid w:val="002A7668"/>
    <w:rsid w:val="002A774D"/>
    <w:rsid w:val="002A7FBA"/>
    <w:rsid w:val="002B01BB"/>
    <w:rsid w:val="002B033A"/>
    <w:rsid w:val="002B03E4"/>
    <w:rsid w:val="002B0C75"/>
    <w:rsid w:val="002B1953"/>
    <w:rsid w:val="002B236B"/>
    <w:rsid w:val="002B23BC"/>
    <w:rsid w:val="002B23D2"/>
    <w:rsid w:val="002B27E2"/>
    <w:rsid w:val="002B2A71"/>
    <w:rsid w:val="002B3069"/>
    <w:rsid w:val="002B32E9"/>
    <w:rsid w:val="002B360C"/>
    <w:rsid w:val="002B3A57"/>
    <w:rsid w:val="002B3AEE"/>
    <w:rsid w:val="002B3BB5"/>
    <w:rsid w:val="002B3D23"/>
    <w:rsid w:val="002B3F94"/>
    <w:rsid w:val="002B4255"/>
    <w:rsid w:val="002B448E"/>
    <w:rsid w:val="002B45C8"/>
    <w:rsid w:val="002B47A1"/>
    <w:rsid w:val="002B4D9D"/>
    <w:rsid w:val="002B5132"/>
    <w:rsid w:val="002B51E7"/>
    <w:rsid w:val="002B5288"/>
    <w:rsid w:val="002B6210"/>
    <w:rsid w:val="002B62C4"/>
    <w:rsid w:val="002B6307"/>
    <w:rsid w:val="002B6DF4"/>
    <w:rsid w:val="002B6E62"/>
    <w:rsid w:val="002B6FD7"/>
    <w:rsid w:val="002B74D1"/>
    <w:rsid w:val="002B7786"/>
    <w:rsid w:val="002B78F0"/>
    <w:rsid w:val="002B79F9"/>
    <w:rsid w:val="002B7BDD"/>
    <w:rsid w:val="002B7BF8"/>
    <w:rsid w:val="002B7D32"/>
    <w:rsid w:val="002B7FD3"/>
    <w:rsid w:val="002C02DD"/>
    <w:rsid w:val="002C0C73"/>
    <w:rsid w:val="002C11E7"/>
    <w:rsid w:val="002C13BB"/>
    <w:rsid w:val="002C1DA4"/>
    <w:rsid w:val="002C236A"/>
    <w:rsid w:val="002C280F"/>
    <w:rsid w:val="002C2908"/>
    <w:rsid w:val="002C2964"/>
    <w:rsid w:val="002C29FF"/>
    <w:rsid w:val="002C2B70"/>
    <w:rsid w:val="002C2E57"/>
    <w:rsid w:val="002C3726"/>
    <w:rsid w:val="002C3A00"/>
    <w:rsid w:val="002C3BA6"/>
    <w:rsid w:val="002C4242"/>
    <w:rsid w:val="002C4414"/>
    <w:rsid w:val="002C46A9"/>
    <w:rsid w:val="002C4948"/>
    <w:rsid w:val="002C4F5B"/>
    <w:rsid w:val="002C5046"/>
    <w:rsid w:val="002C54E5"/>
    <w:rsid w:val="002C5637"/>
    <w:rsid w:val="002C672A"/>
    <w:rsid w:val="002C6948"/>
    <w:rsid w:val="002C694E"/>
    <w:rsid w:val="002C6C47"/>
    <w:rsid w:val="002C6F53"/>
    <w:rsid w:val="002C7531"/>
    <w:rsid w:val="002C7655"/>
    <w:rsid w:val="002C7906"/>
    <w:rsid w:val="002C7954"/>
    <w:rsid w:val="002C7B08"/>
    <w:rsid w:val="002C7F09"/>
    <w:rsid w:val="002D07F5"/>
    <w:rsid w:val="002D091A"/>
    <w:rsid w:val="002D09B2"/>
    <w:rsid w:val="002D0B32"/>
    <w:rsid w:val="002D1045"/>
    <w:rsid w:val="002D112C"/>
    <w:rsid w:val="002D13B8"/>
    <w:rsid w:val="002D1506"/>
    <w:rsid w:val="002D150A"/>
    <w:rsid w:val="002D23A8"/>
    <w:rsid w:val="002D2450"/>
    <w:rsid w:val="002D2AC6"/>
    <w:rsid w:val="002D2F8D"/>
    <w:rsid w:val="002D32AD"/>
    <w:rsid w:val="002D3373"/>
    <w:rsid w:val="002D37D3"/>
    <w:rsid w:val="002D3D25"/>
    <w:rsid w:val="002D4102"/>
    <w:rsid w:val="002D437C"/>
    <w:rsid w:val="002D4C96"/>
    <w:rsid w:val="002D4E15"/>
    <w:rsid w:val="002D4FF9"/>
    <w:rsid w:val="002D562F"/>
    <w:rsid w:val="002D5659"/>
    <w:rsid w:val="002D5686"/>
    <w:rsid w:val="002D5F5A"/>
    <w:rsid w:val="002D5FB3"/>
    <w:rsid w:val="002D62FD"/>
    <w:rsid w:val="002D6309"/>
    <w:rsid w:val="002D64D0"/>
    <w:rsid w:val="002D65B3"/>
    <w:rsid w:val="002D6D4A"/>
    <w:rsid w:val="002D6DB4"/>
    <w:rsid w:val="002D7036"/>
    <w:rsid w:val="002D7491"/>
    <w:rsid w:val="002D768D"/>
    <w:rsid w:val="002D7B23"/>
    <w:rsid w:val="002D7B81"/>
    <w:rsid w:val="002D7CA8"/>
    <w:rsid w:val="002D7E05"/>
    <w:rsid w:val="002D7FB9"/>
    <w:rsid w:val="002E065D"/>
    <w:rsid w:val="002E0824"/>
    <w:rsid w:val="002E0CDE"/>
    <w:rsid w:val="002E110D"/>
    <w:rsid w:val="002E17AF"/>
    <w:rsid w:val="002E210E"/>
    <w:rsid w:val="002E2756"/>
    <w:rsid w:val="002E28C0"/>
    <w:rsid w:val="002E29B3"/>
    <w:rsid w:val="002E38B5"/>
    <w:rsid w:val="002E398F"/>
    <w:rsid w:val="002E3FB4"/>
    <w:rsid w:val="002E4196"/>
    <w:rsid w:val="002E425B"/>
    <w:rsid w:val="002E42C0"/>
    <w:rsid w:val="002E4892"/>
    <w:rsid w:val="002E4A7E"/>
    <w:rsid w:val="002E4C5E"/>
    <w:rsid w:val="002E4CEC"/>
    <w:rsid w:val="002E5086"/>
    <w:rsid w:val="002E510A"/>
    <w:rsid w:val="002E5140"/>
    <w:rsid w:val="002E52A8"/>
    <w:rsid w:val="002E5325"/>
    <w:rsid w:val="002E5659"/>
    <w:rsid w:val="002E57DB"/>
    <w:rsid w:val="002E581A"/>
    <w:rsid w:val="002E5CAE"/>
    <w:rsid w:val="002E5FE2"/>
    <w:rsid w:val="002E601B"/>
    <w:rsid w:val="002E6114"/>
    <w:rsid w:val="002E68B0"/>
    <w:rsid w:val="002E6B78"/>
    <w:rsid w:val="002E6C51"/>
    <w:rsid w:val="002E6EC6"/>
    <w:rsid w:val="002E6ED4"/>
    <w:rsid w:val="002E712B"/>
    <w:rsid w:val="002E72FF"/>
    <w:rsid w:val="002E7BB4"/>
    <w:rsid w:val="002E7C02"/>
    <w:rsid w:val="002F01CE"/>
    <w:rsid w:val="002F02BB"/>
    <w:rsid w:val="002F0612"/>
    <w:rsid w:val="002F0A09"/>
    <w:rsid w:val="002F0C70"/>
    <w:rsid w:val="002F0CBB"/>
    <w:rsid w:val="002F1001"/>
    <w:rsid w:val="002F12AD"/>
    <w:rsid w:val="002F16FB"/>
    <w:rsid w:val="002F1B70"/>
    <w:rsid w:val="002F212E"/>
    <w:rsid w:val="002F2313"/>
    <w:rsid w:val="002F285A"/>
    <w:rsid w:val="002F2932"/>
    <w:rsid w:val="002F3330"/>
    <w:rsid w:val="002F3384"/>
    <w:rsid w:val="002F33BB"/>
    <w:rsid w:val="002F3779"/>
    <w:rsid w:val="002F3867"/>
    <w:rsid w:val="002F4212"/>
    <w:rsid w:val="002F43AE"/>
    <w:rsid w:val="002F4756"/>
    <w:rsid w:val="002F4884"/>
    <w:rsid w:val="002F4889"/>
    <w:rsid w:val="002F4971"/>
    <w:rsid w:val="002F4B1B"/>
    <w:rsid w:val="002F4B9C"/>
    <w:rsid w:val="002F4C43"/>
    <w:rsid w:val="002F4EA0"/>
    <w:rsid w:val="002F5751"/>
    <w:rsid w:val="002F5B21"/>
    <w:rsid w:val="002F6392"/>
    <w:rsid w:val="002F64FC"/>
    <w:rsid w:val="002F7031"/>
    <w:rsid w:val="002F70C0"/>
    <w:rsid w:val="002F738F"/>
    <w:rsid w:val="002F7417"/>
    <w:rsid w:val="002F7832"/>
    <w:rsid w:val="002F7A81"/>
    <w:rsid w:val="0030085B"/>
    <w:rsid w:val="00300BD9"/>
    <w:rsid w:val="003011C4"/>
    <w:rsid w:val="003011D8"/>
    <w:rsid w:val="0030149F"/>
    <w:rsid w:val="0030176A"/>
    <w:rsid w:val="00301B10"/>
    <w:rsid w:val="00301B6D"/>
    <w:rsid w:val="00301C2C"/>
    <w:rsid w:val="00301E0A"/>
    <w:rsid w:val="00302255"/>
    <w:rsid w:val="00302324"/>
    <w:rsid w:val="0030285B"/>
    <w:rsid w:val="003029EB"/>
    <w:rsid w:val="00302E72"/>
    <w:rsid w:val="00303150"/>
    <w:rsid w:val="003034E1"/>
    <w:rsid w:val="00303544"/>
    <w:rsid w:val="0030372B"/>
    <w:rsid w:val="00303ADE"/>
    <w:rsid w:val="00303C5B"/>
    <w:rsid w:val="00303D39"/>
    <w:rsid w:val="00303E4E"/>
    <w:rsid w:val="003041C3"/>
    <w:rsid w:val="0030431D"/>
    <w:rsid w:val="00304707"/>
    <w:rsid w:val="0030473A"/>
    <w:rsid w:val="0030488D"/>
    <w:rsid w:val="00305017"/>
    <w:rsid w:val="00305888"/>
    <w:rsid w:val="003059A5"/>
    <w:rsid w:val="00306241"/>
    <w:rsid w:val="003062C3"/>
    <w:rsid w:val="00306C8D"/>
    <w:rsid w:val="00306E48"/>
    <w:rsid w:val="00306EFF"/>
    <w:rsid w:val="00306F72"/>
    <w:rsid w:val="003077B6"/>
    <w:rsid w:val="00307B1C"/>
    <w:rsid w:val="00307E8A"/>
    <w:rsid w:val="00310042"/>
    <w:rsid w:val="00310047"/>
    <w:rsid w:val="00310191"/>
    <w:rsid w:val="00310959"/>
    <w:rsid w:val="00310B87"/>
    <w:rsid w:val="00310D18"/>
    <w:rsid w:val="00311097"/>
    <w:rsid w:val="003111CC"/>
    <w:rsid w:val="00311758"/>
    <w:rsid w:val="00311AA8"/>
    <w:rsid w:val="00312076"/>
    <w:rsid w:val="003128C3"/>
    <w:rsid w:val="00312B1E"/>
    <w:rsid w:val="00312C19"/>
    <w:rsid w:val="00312C8F"/>
    <w:rsid w:val="0031338A"/>
    <w:rsid w:val="00313CDF"/>
    <w:rsid w:val="00314154"/>
    <w:rsid w:val="0031428B"/>
    <w:rsid w:val="003145A4"/>
    <w:rsid w:val="003153B5"/>
    <w:rsid w:val="00315B63"/>
    <w:rsid w:val="003162F2"/>
    <w:rsid w:val="00316759"/>
    <w:rsid w:val="00316D83"/>
    <w:rsid w:val="00316FC9"/>
    <w:rsid w:val="003170B9"/>
    <w:rsid w:val="003174FF"/>
    <w:rsid w:val="003175B8"/>
    <w:rsid w:val="0031765A"/>
    <w:rsid w:val="00317DE4"/>
    <w:rsid w:val="0032040A"/>
    <w:rsid w:val="00320545"/>
    <w:rsid w:val="003208E6"/>
    <w:rsid w:val="00320927"/>
    <w:rsid w:val="00321149"/>
    <w:rsid w:val="00321292"/>
    <w:rsid w:val="00321989"/>
    <w:rsid w:val="00321C47"/>
    <w:rsid w:val="00321FE7"/>
    <w:rsid w:val="003220DB"/>
    <w:rsid w:val="003221EF"/>
    <w:rsid w:val="00322501"/>
    <w:rsid w:val="00322616"/>
    <w:rsid w:val="00322882"/>
    <w:rsid w:val="00322E72"/>
    <w:rsid w:val="0032339D"/>
    <w:rsid w:val="003233EA"/>
    <w:rsid w:val="00323494"/>
    <w:rsid w:val="003234AF"/>
    <w:rsid w:val="00323BE8"/>
    <w:rsid w:val="00323ED8"/>
    <w:rsid w:val="00324256"/>
    <w:rsid w:val="003245AB"/>
    <w:rsid w:val="003245B9"/>
    <w:rsid w:val="00324A3D"/>
    <w:rsid w:val="00324AEC"/>
    <w:rsid w:val="00324B76"/>
    <w:rsid w:val="00324B9C"/>
    <w:rsid w:val="00324C98"/>
    <w:rsid w:val="00324FD1"/>
    <w:rsid w:val="003253D6"/>
    <w:rsid w:val="003258C6"/>
    <w:rsid w:val="00325A3A"/>
    <w:rsid w:val="00325AF1"/>
    <w:rsid w:val="00325EF3"/>
    <w:rsid w:val="00326472"/>
    <w:rsid w:val="00326547"/>
    <w:rsid w:val="003266D1"/>
    <w:rsid w:val="00326A57"/>
    <w:rsid w:val="00326E08"/>
    <w:rsid w:val="003270DD"/>
    <w:rsid w:val="0032744F"/>
    <w:rsid w:val="003274F6"/>
    <w:rsid w:val="0032750D"/>
    <w:rsid w:val="00327676"/>
    <w:rsid w:val="0032770D"/>
    <w:rsid w:val="00327C01"/>
    <w:rsid w:val="0033000F"/>
    <w:rsid w:val="00330062"/>
    <w:rsid w:val="0033014D"/>
    <w:rsid w:val="003303C1"/>
    <w:rsid w:val="00330769"/>
    <w:rsid w:val="00330A11"/>
    <w:rsid w:val="00330A5F"/>
    <w:rsid w:val="00330D46"/>
    <w:rsid w:val="00330EDC"/>
    <w:rsid w:val="00330FC8"/>
    <w:rsid w:val="0033167F"/>
    <w:rsid w:val="0033171E"/>
    <w:rsid w:val="00331836"/>
    <w:rsid w:val="003320DC"/>
    <w:rsid w:val="00332871"/>
    <w:rsid w:val="00332A32"/>
    <w:rsid w:val="00332E7B"/>
    <w:rsid w:val="003330BA"/>
    <w:rsid w:val="00333487"/>
    <w:rsid w:val="00333777"/>
    <w:rsid w:val="0033406C"/>
    <w:rsid w:val="0033441D"/>
    <w:rsid w:val="00334BB7"/>
    <w:rsid w:val="00334CAF"/>
    <w:rsid w:val="00334D88"/>
    <w:rsid w:val="00334DA5"/>
    <w:rsid w:val="00334EF8"/>
    <w:rsid w:val="00335109"/>
    <w:rsid w:val="0033523E"/>
    <w:rsid w:val="0033577A"/>
    <w:rsid w:val="00335956"/>
    <w:rsid w:val="00336042"/>
    <w:rsid w:val="00336061"/>
    <w:rsid w:val="003361CA"/>
    <w:rsid w:val="003368EA"/>
    <w:rsid w:val="00336A28"/>
    <w:rsid w:val="00336F9E"/>
    <w:rsid w:val="00336FA3"/>
    <w:rsid w:val="0033732B"/>
    <w:rsid w:val="00337A34"/>
    <w:rsid w:val="0034063C"/>
    <w:rsid w:val="00340CBB"/>
    <w:rsid w:val="00340DE3"/>
    <w:rsid w:val="00340EDB"/>
    <w:rsid w:val="0034111A"/>
    <w:rsid w:val="003414B9"/>
    <w:rsid w:val="003416B0"/>
    <w:rsid w:val="00341867"/>
    <w:rsid w:val="003423A4"/>
    <w:rsid w:val="00342A4F"/>
    <w:rsid w:val="00342B55"/>
    <w:rsid w:val="00343134"/>
    <w:rsid w:val="00343198"/>
    <w:rsid w:val="00343297"/>
    <w:rsid w:val="003433AD"/>
    <w:rsid w:val="003438E1"/>
    <w:rsid w:val="00343A4A"/>
    <w:rsid w:val="00343FA1"/>
    <w:rsid w:val="0034461A"/>
    <w:rsid w:val="0034492E"/>
    <w:rsid w:val="00344E3F"/>
    <w:rsid w:val="00344F95"/>
    <w:rsid w:val="003455BF"/>
    <w:rsid w:val="00345DBE"/>
    <w:rsid w:val="00345F2B"/>
    <w:rsid w:val="003460E4"/>
    <w:rsid w:val="0034618B"/>
    <w:rsid w:val="0034618C"/>
    <w:rsid w:val="00346230"/>
    <w:rsid w:val="00346A66"/>
    <w:rsid w:val="00346D1C"/>
    <w:rsid w:val="00346D1D"/>
    <w:rsid w:val="00347809"/>
    <w:rsid w:val="003479A8"/>
    <w:rsid w:val="00347C7C"/>
    <w:rsid w:val="00347E01"/>
    <w:rsid w:val="00350031"/>
    <w:rsid w:val="00350059"/>
    <w:rsid w:val="0035046C"/>
    <w:rsid w:val="003509BF"/>
    <w:rsid w:val="00350AF2"/>
    <w:rsid w:val="0035108F"/>
    <w:rsid w:val="003514D5"/>
    <w:rsid w:val="003518E4"/>
    <w:rsid w:val="00352BA1"/>
    <w:rsid w:val="00352BD8"/>
    <w:rsid w:val="00353094"/>
    <w:rsid w:val="0035330C"/>
    <w:rsid w:val="003533EE"/>
    <w:rsid w:val="003534CF"/>
    <w:rsid w:val="00353A6F"/>
    <w:rsid w:val="00353DE1"/>
    <w:rsid w:val="00353F53"/>
    <w:rsid w:val="003541F5"/>
    <w:rsid w:val="003546F3"/>
    <w:rsid w:val="003549A4"/>
    <w:rsid w:val="00354C25"/>
    <w:rsid w:val="00354CDF"/>
    <w:rsid w:val="00354D40"/>
    <w:rsid w:val="00354EC6"/>
    <w:rsid w:val="00354FCB"/>
    <w:rsid w:val="003550AA"/>
    <w:rsid w:val="0035517A"/>
    <w:rsid w:val="003551CC"/>
    <w:rsid w:val="0035527B"/>
    <w:rsid w:val="003554F8"/>
    <w:rsid w:val="00355B29"/>
    <w:rsid w:val="00355B60"/>
    <w:rsid w:val="00355D17"/>
    <w:rsid w:val="00355D3F"/>
    <w:rsid w:val="003560BD"/>
    <w:rsid w:val="00356112"/>
    <w:rsid w:val="0035649E"/>
    <w:rsid w:val="0035657A"/>
    <w:rsid w:val="00356FD2"/>
    <w:rsid w:val="0035708F"/>
    <w:rsid w:val="0035727C"/>
    <w:rsid w:val="00357719"/>
    <w:rsid w:val="00357ACC"/>
    <w:rsid w:val="00357B33"/>
    <w:rsid w:val="00357DEB"/>
    <w:rsid w:val="003606A3"/>
    <w:rsid w:val="003606FA"/>
    <w:rsid w:val="00360727"/>
    <w:rsid w:val="00360858"/>
    <w:rsid w:val="00360E3D"/>
    <w:rsid w:val="00360EE8"/>
    <w:rsid w:val="00360F37"/>
    <w:rsid w:val="00361634"/>
    <w:rsid w:val="0036167C"/>
    <w:rsid w:val="003618B1"/>
    <w:rsid w:val="00361A26"/>
    <w:rsid w:val="00362CAD"/>
    <w:rsid w:val="003633C5"/>
    <w:rsid w:val="0036364E"/>
    <w:rsid w:val="00363774"/>
    <w:rsid w:val="00363C59"/>
    <w:rsid w:val="00363CE4"/>
    <w:rsid w:val="0036418E"/>
    <w:rsid w:val="003643C8"/>
    <w:rsid w:val="00364433"/>
    <w:rsid w:val="00364F57"/>
    <w:rsid w:val="00365064"/>
    <w:rsid w:val="003652DE"/>
    <w:rsid w:val="0036536D"/>
    <w:rsid w:val="003655AB"/>
    <w:rsid w:val="00365813"/>
    <w:rsid w:val="0036594A"/>
    <w:rsid w:val="00365FEB"/>
    <w:rsid w:val="00366236"/>
    <w:rsid w:val="00366965"/>
    <w:rsid w:val="00366DF5"/>
    <w:rsid w:val="00366E57"/>
    <w:rsid w:val="00367327"/>
    <w:rsid w:val="00367562"/>
    <w:rsid w:val="0036770D"/>
    <w:rsid w:val="003677F6"/>
    <w:rsid w:val="00367B7D"/>
    <w:rsid w:val="00367C2E"/>
    <w:rsid w:val="00367D0D"/>
    <w:rsid w:val="00367FCF"/>
    <w:rsid w:val="00367FD8"/>
    <w:rsid w:val="00367FF5"/>
    <w:rsid w:val="00370615"/>
    <w:rsid w:val="003708AA"/>
    <w:rsid w:val="003708CE"/>
    <w:rsid w:val="00370BAC"/>
    <w:rsid w:val="00371019"/>
    <w:rsid w:val="00371048"/>
    <w:rsid w:val="003717FF"/>
    <w:rsid w:val="003719EC"/>
    <w:rsid w:val="00372473"/>
    <w:rsid w:val="003725FD"/>
    <w:rsid w:val="003726E6"/>
    <w:rsid w:val="003727A9"/>
    <w:rsid w:val="00372B37"/>
    <w:rsid w:val="003739C5"/>
    <w:rsid w:val="00373A44"/>
    <w:rsid w:val="00373C82"/>
    <w:rsid w:val="003740B1"/>
    <w:rsid w:val="00374241"/>
    <w:rsid w:val="00374670"/>
    <w:rsid w:val="0037473B"/>
    <w:rsid w:val="0037504E"/>
    <w:rsid w:val="0037510E"/>
    <w:rsid w:val="0037521E"/>
    <w:rsid w:val="00375663"/>
    <w:rsid w:val="00375890"/>
    <w:rsid w:val="00375992"/>
    <w:rsid w:val="003759D4"/>
    <w:rsid w:val="00375A8F"/>
    <w:rsid w:val="00375AE6"/>
    <w:rsid w:val="003762C5"/>
    <w:rsid w:val="0037690B"/>
    <w:rsid w:val="0037695F"/>
    <w:rsid w:val="00376CC7"/>
    <w:rsid w:val="003775D1"/>
    <w:rsid w:val="00380779"/>
    <w:rsid w:val="0038091C"/>
    <w:rsid w:val="003809CA"/>
    <w:rsid w:val="00380A4C"/>
    <w:rsid w:val="003816C4"/>
    <w:rsid w:val="00381736"/>
    <w:rsid w:val="003819A4"/>
    <w:rsid w:val="00381A70"/>
    <w:rsid w:val="00382048"/>
    <w:rsid w:val="003822AF"/>
    <w:rsid w:val="0038255E"/>
    <w:rsid w:val="0038265F"/>
    <w:rsid w:val="00382996"/>
    <w:rsid w:val="00382ADC"/>
    <w:rsid w:val="00382E0F"/>
    <w:rsid w:val="00383431"/>
    <w:rsid w:val="00383579"/>
    <w:rsid w:val="003839CF"/>
    <w:rsid w:val="00383D35"/>
    <w:rsid w:val="00383D90"/>
    <w:rsid w:val="00384140"/>
    <w:rsid w:val="00384283"/>
    <w:rsid w:val="003845CA"/>
    <w:rsid w:val="00384B76"/>
    <w:rsid w:val="00384C6B"/>
    <w:rsid w:val="00385057"/>
    <w:rsid w:val="0038541B"/>
    <w:rsid w:val="0038576E"/>
    <w:rsid w:val="00385E63"/>
    <w:rsid w:val="003860E4"/>
    <w:rsid w:val="003865BA"/>
    <w:rsid w:val="0038674A"/>
    <w:rsid w:val="0038681A"/>
    <w:rsid w:val="003871AC"/>
    <w:rsid w:val="003872C9"/>
    <w:rsid w:val="0038735F"/>
    <w:rsid w:val="00387783"/>
    <w:rsid w:val="00387A79"/>
    <w:rsid w:val="00390133"/>
    <w:rsid w:val="0039016C"/>
    <w:rsid w:val="003903A4"/>
    <w:rsid w:val="0039078E"/>
    <w:rsid w:val="003909A1"/>
    <w:rsid w:val="00390A91"/>
    <w:rsid w:val="00390B27"/>
    <w:rsid w:val="00390CA5"/>
    <w:rsid w:val="00390EF6"/>
    <w:rsid w:val="003910C0"/>
    <w:rsid w:val="0039126A"/>
    <w:rsid w:val="003915D7"/>
    <w:rsid w:val="00391681"/>
    <w:rsid w:val="0039175C"/>
    <w:rsid w:val="0039179D"/>
    <w:rsid w:val="00391904"/>
    <w:rsid w:val="00391975"/>
    <w:rsid w:val="003919B4"/>
    <w:rsid w:val="003919E1"/>
    <w:rsid w:val="00391C77"/>
    <w:rsid w:val="00391CF2"/>
    <w:rsid w:val="003927D2"/>
    <w:rsid w:val="003929C6"/>
    <w:rsid w:val="00392EFE"/>
    <w:rsid w:val="0039369E"/>
    <w:rsid w:val="003936A1"/>
    <w:rsid w:val="00393D2D"/>
    <w:rsid w:val="0039402C"/>
    <w:rsid w:val="00394B25"/>
    <w:rsid w:val="00394D6E"/>
    <w:rsid w:val="003956A2"/>
    <w:rsid w:val="00395A65"/>
    <w:rsid w:val="00395B01"/>
    <w:rsid w:val="00395CFC"/>
    <w:rsid w:val="00395D29"/>
    <w:rsid w:val="00395E08"/>
    <w:rsid w:val="0039647F"/>
    <w:rsid w:val="003966B2"/>
    <w:rsid w:val="003966E0"/>
    <w:rsid w:val="00396916"/>
    <w:rsid w:val="00396CDF"/>
    <w:rsid w:val="003973CB"/>
    <w:rsid w:val="00397478"/>
    <w:rsid w:val="00397569"/>
    <w:rsid w:val="00397783"/>
    <w:rsid w:val="0039796F"/>
    <w:rsid w:val="00397BF3"/>
    <w:rsid w:val="003A052D"/>
    <w:rsid w:val="003A0553"/>
    <w:rsid w:val="003A133F"/>
    <w:rsid w:val="003A1BB2"/>
    <w:rsid w:val="003A1BB5"/>
    <w:rsid w:val="003A1C4B"/>
    <w:rsid w:val="003A1F3E"/>
    <w:rsid w:val="003A1FDA"/>
    <w:rsid w:val="003A22B8"/>
    <w:rsid w:val="003A2860"/>
    <w:rsid w:val="003A2B6B"/>
    <w:rsid w:val="003A2B76"/>
    <w:rsid w:val="003A2C1B"/>
    <w:rsid w:val="003A2C9B"/>
    <w:rsid w:val="003A3477"/>
    <w:rsid w:val="003A3597"/>
    <w:rsid w:val="003A3634"/>
    <w:rsid w:val="003A3EEF"/>
    <w:rsid w:val="003A3FA8"/>
    <w:rsid w:val="003A41F0"/>
    <w:rsid w:val="003A42C7"/>
    <w:rsid w:val="003A430F"/>
    <w:rsid w:val="003A45A3"/>
    <w:rsid w:val="003A49DC"/>
    <w:rsid w:val="003A4B67"/>
    <w:rsid w:val="003A4E60"/>
    <w:rsid w:val="003A4FAF"/>
    <w:rsid w:val="003A55A2"/>
    <w:rsid w:val="003A5966"/>
    <w:rsid w:val="003A5A5B"/>
    <w:rsid w:val="003A5E9C"/>
    <w:rsid w:val="003A61A5"/>
    <w:rsid w:val="003A7259"/>
    <w:rsid w:val="003A72FB"/>
    <w:rsid w:val="003A7367"/>
    <w:rsid w:val="003A753A"/>
    <w:rsid w:val="003A7597"/>
    <w:rsid w:val="003A75AA"/>
    <w:rsid w:val="003A78E7"/>
    <w:rsid w:val="003A7923"/>
    <w:rsid w:val="003A7C6D"/>
    <w:rsid w:val="003A7DCE"/>
    <w:rsid w:val="003A7FF5"/>
    <w:rsid w:val="003B08DE"/>
    <w:rsid w:val="003B0C73"/>
    <w:rsid w:val="003B1187"/>
    <w:rsid w:val="003B1ADD"/>
    <w:rsid w:val="003B1D4C"/>
    <w:rsid w:val="003B1DE6"/>
    <w:rsid w:val="003B214A"/>
    <w:rsid w:val="003B225E"/>
    <w:rsid w:val="003B234E"/>
    <w:rsid w:val="003B26D4"/>
    <w:rsid w:val="003B2798"/>
    <w:rsid w:val="003B33F1"/>
    <w:rsid w:val="003B34C6"/>
    <w:rsid w:val="003B34D7"/>
    <w:rsid w:val="003B3585"/>
    <w:rsid w:val="003B3803"/>
    <w:rsid w:val="003B3898"/>
    <w:rsid w:val="003B3925"/>
    <w:rsid w:val="003B3CED"/>
    <w:rsid w:val="003B4582"/>
    <w:rsid w:val="003B45BD"/>
    <w:rsid w:val="003B47DF"/>
    <w:rsid w:val="003B5363"/>
    <w:rsid w:val="003B53EE"/>
    <w:rsid w:val="003B57B4"/>
    <w:rsid w:val="003B58B9"/>
    <w:rsid w:val="003B5B5A"/>
    <w:rsid w:val="003B64AA"/>
    <w:rsid w:val="003B684F"/>
    <w:rsid w:val="003B687C"/>
    <w:rsid w:val="003B6A49"/>
    <w:rsid w:val="003B6DA9"/>
    <w:rsid w:val="003B6F66"/>
    <w:rsid w:val="003B7072"/>
    <w:rsid w:val="003B77BF"/>
    <w:rsid w:val="003B7DE4"/>
    <w:rsid w:val="003C016E"/>
    <w:rsid w:val="003C0384"/>
    <w:rsid w:val="003C05E3"/>
    <w:rsid w:val="003C0631"/>
    <w:rsid w:val="003C064C"/>
    <w:rsid w:val="003C0652"/>
    <w:rsid w:val="003C0CF4"/>
    <w:rsid w:val="003C1107"/>
    <w:rsid w:val="003C129A"/>
    <w:rsid w:val="003C1943"/>
    <w:rsid w:val="003C1F2A"/>
    <w:rsid w:val="003C2377"/>
    <w:rsid w:val="003C2A94"/>
    <w:rsid w:val="003C2B4B"/>
    <w:rsid w:val="003C2E5E"/>
    <w:rsid w:val="003C2FDF"/>
    <w:rsid w:val="003C30CF"/>
    <w:rsid w:val="003C3421"/>
    <w:rsid w:val="003C38C0"/>
    <w:rsid w:val="003C3D64"/>
    <w:rsid w:val="003C3D9B"/>
    <w:rsid w:val="003C41B1"/>
    <w:rsid w:val="003C42A1"/>
    <w:rsid w:val="003C519D"/>
    <w:rsid w:val="003C5333"/>
    <w:rsid w:val="003C5432"/>
    <w:rsid w:val="003C574E"/>
    <w:rsid w:val="003C5CB0"/>
    <w:rsid w:val="003C5F34"/>
    <w:rsid w:val="003C60B8"/>
    <w:rsid w:val="003C7228"/>
    <w:rsid w:val="003C73C6"/>
    <w:rsid w:val="003C7908"/>
    <w:rsid w:val="003C7B64"/>
    <w:rsid w:val="003C7BCB"/>
    <w:rsid w:val="003C7F26"/>
    <w:rsid w:val="003D0224"/>
    <w:rsid w:val="003D072A"/>
    <w:rsid w:val="003D0B33"/>
    <w:rsid w:val="003D0BDC"/>
    <w:rsid w:val="003D0D17"/>
    <w:rsid w:val="003D0FE4"/>
    <w:rsid w:val="003D11EC"/>
    <w:rsid w:val="003D1A49"/>
    <w:rsid w:val="003D1BE8"/>
    <w:rsid w:val="003D1E50"/>
    <w:rsid w:val="003D20FE"/>
    <w:rsid w:val="003D2111"/>
    <w:rsid w:val="003D261A"/>
    <w:rsid w:val="003D2747"/>
    <w:rsid w:val="003D2A4D"/>
    <w:rsid w:val="003D2E89"/>
    <w:rsid w:val="003D33D4"/>
    <w:rsid w:val="003D37BB"/>
    <w:rsid w:val="003D3A5F"/>
    <w:rsid w:val="003D3E0D"/>
    <w:rsid w:val="003D3F15"/>
    <w:rsid w:val="003D4036"/>
    <w:rsid w:val="003D4271"/>
    <w:rsid w:val="003D42F8"/>
    <w:rsid w:val="003D452D"/>
    <w:rsid w:val="003D4A79"/>
    <w:rsid w:val="003D4CF3"/>
    <w:rsid w:val="003D4F0C"/>
    <w:rsid w:val="003D51B9"/>
    <w:rsid w:val="003D51F5"/>
    <w:rsid w:val="003D575C"/>
    <w:rsid w:val="003D5769"/>
    <w:rsid w:val="003D5A48"/>
    <w:rsid w:val="003D5B16"/>
    <w:rsid w:val="003D5CE7"/>
    <w:rsid w:val="003D5F04"/>
    <w:rsid w:val="003D5F5E"/>
    <w:rsid w:val="003D611C"/>
    <w:rsid w:val="003D613C"/>
    <w:rsid w:val="003D6691"/>
    <w:rsid w:val="003D69FB"/>
    <w:rsid w:val="003D6B31"/>
    <w:rsid w:val="003D6D2D"/>
    <w:rsid w:val="003D6F88"/>
    <w:rsid w:val="003D715C"/>
    <w:rsid w:val="003D79AB"/>
    <w:rsid w:val="003E0CC9"/>
    <w:rsid w:val="003E0E8E"/>
    <w:rsid w:val="003E17C8"/>
    <w:rsid w:val="003E1B19"/>
    <w:rsid w:val="003E1B9A"/>
    <w:rsid w:val="003E1CAC"/>
    <w:rsid w:val="003E2226"/>
    <w:rsid w:val="003E2324"/>
    <w:rsid w:val="003E2774"/>
    <w:rsid w:val="003E3037"/>
    <w:rsid w:val="003E31E5"/>
    <w:rsid w:val="003E3254"/>
    <w:rsid w:val="003E33A9"/>
    <w:rsid w:val="003E33C2"/>
    <w:rsid w:val="003E35FA"/>
    <w:rsid w:val="003E37DA"/>
    <w:rsid w:val="003E3E7F"/>
    <w:rsid w:val="003E42E6"/>
    <w:rsid w:val="003E482F"/>
    <w:rsid w:val="003E4D3E"/>
    <w:rsid w:val="003E4EC0"/>
    <w:rsid w:val="003E50EE"/>
    <w:rsid w:val="003E52FD"/>
    <w:rsid w:val="003E578D"/>
    <w:rsid w:val="003E588C"/>
    <w:rsid w:val="003E5B85"/>
    <w:rsid w:val="003E5D34"/>
    <w:rsid w:val="003E5ECA"/>
    <w:rsid w:val="003E6192"/>
    <w:rsid w:val="003E6633"/>
    <w:rsid w:val="003E6A96"/>
    <w:rsid w:val="003E6EAE"/>
    <w:rsid w:val="003E78FC"/>
    <w:rsid w:val="003E7900"/>
    <w:rsid w:val="003E7AB5"/>
    <w:rsid w:val="003F051D"/>
    <w:rsid w:val="003F0998"/>
    <w:rsid w:val="003F09AF"/>
    <w:rsid w:val="003F0E0A"/>
    <w:rsid w:val="003F0F04"/>
    <w:rsid w:val="003F1168"/>
    <w:rsid w:val="003F125E"/>
    <w:rsid w:val="003F1822"/>
    <w:rsid w:val="003F18DF"/>
    <w:rsid w:val="003F1988"/>
    <w:rsid w:val="003F1B1D"/>
    <w:rsid w:val="003F1CE8"/>
    <w:rsid w:val="003F1E3E"/>
    <w:rsid w:val="003F2197"/>
    <w:rsid w:val="003F219D"/>
    <w:rsid w:val="003F259A"/>
    <w:rsid w:val="003F26C1"/>
    <w:rsid w:val="003F271C"/>
    <w:rsid w:val="003F28FD"/>
    <w:rsid w:val="003F2D76"/>
    <w:rsid w:val="003F2E97"/>
    <w:rsid w:val="003F31D0"/>
    <w:rsid w:val="003F32E8"/>
    <w:rsid w:val="003F3510"/>
    <w:rsid w:val="003F3ADC"/>
    <w:rsid w:val="003F3DE2"/>
    <w:rsid w:val="003F3F57"/>
    <w:rsid w:val="003F5CCF"/>
    <w:rsid w:val="003F5CFA"/>
    <w:rsid w:val="003F61BF"/>
    <w:rsid w:val="003F639D"/>
    <w:rsid w:val="003F6585"/>
    <w:rsid w:val="003F6872"/>
    <w:rsid w:val="003F70D4"/>
    <w:rsid w:val="003F720C"/>
    <w:rsid w:val="003F75B2"/>
    <w:rsid w:val="003F7B28"/>
    <w:rsid w:val="004006DF"/>
    <w:rsid w:val="00400FA9"/>
    <w:rsid w:val="00401284"/>
    <w:rsid w:val="004017AE"/>
    <w:rsid w:val="004017EB"/>
    <w:rsid w:val="0040189E"/>
    <w:rsid w:val="00401942"/>
    <w:rsid w:val="00401AD9"/>
    <w:rsid w:val="00402458"/>
    <w:rsid w:val="00402521"/>
    <w:rsid w:val="0040261F"/>
    <w:rsid w:val="00402E74"/>
    <w:rsid w:val="00402EF9"/>
    <w:rsid w:val="00403020"/>
    <w:rsid w:val="00403074"/>
    <w:rsid w:val="0040361B"/>
    <w:rsid w:val="00403824"/>
    <w:rsid w:val="0040398F"/>
    <w:rsid w:val="00403B7C"/>
    <w:rsid w:val="00404280"/>
    <w:rsid w:val="00404B35"/>
    <w:rsid w:val="00404E45"/>
    <w:rsid w:val="004056F1"/>
    <w:rsid w:val="00405F56"/>
    <w:rsid w:val="0040607A"/>
    <w:rsid w:val="00406E70"/>
    <w:rsid w:val="00407134"/>
    <w:rsid w:val="0040726F"/>
    <w:rsid w:val="0040733D"/>
    <w:rsid w:val="004073A6"/>
    <w:rsid w:val="004073A7"/>
    <w:rsid w:val="00407986"/>
    <w:rsid w:val="00407BE9"/>
    <w:rsid w:val="00407D1F"/>
    <w:rsid w:val="0041072C"/>
    <w:rsid w:val="00410F02"/>
    <w:rsid w:val="00411A3D"/>
    <w:rsid w:val="00411D63"/>
    <w:rsid w:val="00411EEA"/>
    <w:rsid w:val="004121F1"/>
    <w:rsid w:val="0041322C"/>
    <w:rsid w:val="00413580"/>
    <w:rsid w:val="004135BD"/>
    <w:rsid w:val="004147AD"/>
    <w:rsid w:val="00414CE6"/>
    <w:rsid w:val="00415033"/>
    <w:rsid w:val="00415474"/>
    <w:rsid w:val="0041569C"/>
    <w:rsid w:val="00415878"/>
    <w:rsid w:val="00415B3B"/>
    <w:rsid w:val="00415C7E"/>
    <w:rsid w:val="00415D96"/>
    <w:rsid w:val="00416820"/>
    <w:rsid w:val="00416997"/>
    <w:rsid w:val="00416A00"/>
    <w:rsid w:val="00416B67"/>
    <w:rsid w:val="00416B7F"/>
    <w:rsid w:val="00416FA4"/>
    <w:rsid w:val="00417223"/>
    <w:rsid w:val="0041731F"/>
    <w:rsid w:val="0041744B"/>
    <w:rsid w:val="00417BF2"/>
    <w:rsid w:val="00417F48"/>
    <w:rsid w:val="00420485"/>
    <w:rsid w:val="0042098C"/>
    <w:rsid w:val="00420AB1"/>
    <w:rsid w:val="00420C1B"/>
    <w:rsid w:val="00420C87"/>
    <w:rsid w:val="00420CAE"/>
    <w:rsid w:val="00420CB8"/>
    <w:rsid w:val="0042109C"/>
    <w:rsid w:val="0042125B"/>
    <w:rsid w:val="004212FC"/>
    <w:rsid w:val="0042134A"/>
    <w:rsid w:val="00421394"/>
    <w:rsid w:val="004218E8"/>
    <w:rsid w:val="00421A3F"/>
    <w:rsid w:val="00421F45"/>
    <w:rsid w:val="0042239E"/>
    <w:rsid w:val="0042242A"/>
    <w:rsid w:val="004225A2"/>
    <w:rsid w:val="00422743"/>
    <w:rsid w:val="004229DE"/>
    <w:rsid w:val="00422B93"/>
    <w:rsid w:val="00422EFA"/>
    <w:rsid w:val="004231AC"/>
    <w:rsid w:val="0042387B"/>
    <w:rsid w:val="00424392"/>
    <w:rsid w:val="004244E9"/>
    <w:rsid w:val="004244FD"/>
    <w:rsid w:val="0042456E"/>
    <w:rsid w:val="00424F2B"/>
    <w:rsid w:val="00424F6B"/>
    <w:rsid w:val="00424FAD"/>
    <w:rsid w:val="00425282"/>
    <w:rsid w:val="004253DE"/>
    <w:rsid w:val="004256C8"/>
    <w:rsid w:val="0042593B"/>
    <w:rsid w:val="00425BEB"/>
    <w:rsid w:val="0042657D"/>
    <w:rsid w:val="0042665C"/>
    <w:rsid w:val="0042679F"/>
    <w:rsid w:val="004268C7"/>
    <w:rsid w:val="004269FE"/>
    <w:rsid w:val="00426CE4"/>
    <w:rsid w:val="00426E56"/>
    <w:rsid w:val="00427616"/>
    <w:rsid w:val="00427654"/>
    <w:rsid w:val="00427B31"/>
    <w:rsid w:val="00427DB8"/>
    <w:rsid w:val="0043003F"/>
    <w:rsid w:val="00430501"/>
    <w:rsid w:val="00430504"/>
    <w:rsid w:val="00430693"/>
    <w:rsid w:val="00430844"/>
    <w:rsid w:val="0043091B"/>
    <w:rsid w:val="004309A2"/>
    <w:rsid w:val="004313E6"/>
    <w:rsid w:val="00431B13"/>
    <w:rsid w:val="00431B23"/>
    <w:rsid w:val="00432104"/>
    <w:rsid w:val="00432207"/>
    <w:rsid w:val="00432A4B"/>
    <w:rsid w:val="0043378F"/>
    <w:rsid w:val="0043383A"/>
    <w:rsid w:val="004338E5"/>
    <w:rsid w:val="00433B02"/>
    <w:rsid w:val="00433BF2"/>
    <w:rsid w:val="00433C58"/>
    <w:rsid w:val="00433C60"/>
    <w:rsid w:val="00433E95"/>
    <w:rsid w:val="00433F4F"/>
    <w:rsid w:val="004345C8"/>
    <w:rsid w:val="00434A9E"/>
    <w:rsid w:val="00434EA3"/>
    <w:rsid w:val="0043503B"/>
    <w:rsid w:val="004350B8"/>
    <w:rsid w:val="00435334"/>
    <w:rsid w:val="00435352"/>
    <w:rsid w:val="004355CE"/>
    <w:rsid w:val="0043609B"/>
    <w:rsid w:val="004362CF"/>
    <w:rsid w:val="00436481"/>
    <w:rsid w:val="00436505"/>
    <w:rsid w:val="00436608"/>
    <w:rsid w:val="00436A6C"/>
    <w:rsid w:val="00436F16"/>
    <w:rsid w:val="00437140"/>
    <w:rsid w:val="004372BC"/>
    <w:rsid w:val="004372EE"/>
    <w:rsid w:val="00437361"/>
    <w:rsid w:val="00437577"/>
    <w:rsid w:val="00437986"/>
    <w:rsid w:val="004379CF"/>
    <w:rsid w:val="00437B0B"/>
    <w:rsid w:val="004400AB"/>
    <w:rsid w:val="0044040B"/>
    <w:rsid w:val="004408AD"/>
    <w:rsid w:val="004411FC"/>
    <w:rsid w:val="00441321"/>
    <w:rsid w:val="00441383"/>
    <w:rsid w:val="004419A5"/>
    <w:rsid w:val="0044208B"/>
    <w:rsid w:val="00442649"/>
    <w:rsid w:val="00442777"/>
    <w:rsid w:val="00442AE6"/>
    <w:rsid w:val="00442B0B"/>
    <w:rsid w:val="00442E76"/>
    <w:rsid w:val="00443268"/>
    <w:rsid w:val="00443355"/>
    <w:rsid w:val="00443367"/>
    <w:rsid w:val="004436B5"/>
    <w:rsid w:val="00443741"/>
    <w:rsid w:val="0044388D"/>
    <w:rsid w:val="00443A02"/>
    <w:rsid w:val="0044400D"/>
    <w:rsid w:val="0044427A"/>
    <w:rsid w:val="004445C9"/>
    <w:rsid w:val="0044478E"/>
    <w:rsid w:val="00444830"/>
    <w:rsid w:val="0044485C"/>
    <w:rsid w:val="00444AD2"/>
    <w:rsid w:val="00444C42"/>
    <w:rsid w:val="00444F7E"/>
    <w:rsid w:val="00445247"/>
    <w:rsid w:val="0044534B"/>
    <w:rsid w:val="0044538D"/>
    <w:rsid w:val="00445509"/>
    <w:rsid w:val="00445627"/>
    <w:rsid w:val="0044573C"/>
    <w:rsid w:val="004457FD"/>
    <w:rsid w:val="0044589E"/>
    <w:rsid w:val="00445AA9"/>
    <w:rsid w:val="00445B3F"/>
    <w:rsid w:val="00445F8F"/>
    <w:rsid w:val="00445FAB"/>
    <w:rsid w:val="004460E4"/>
    <w:rsid w:val="004460FF"/>
    <w:rsid w:val="004461BC"/>
    <w:rsid w:val="00446854"/>
    <w:rsid w:val="00446A50"/>
    <w:rsid w:val="00446AB9"/>
    <w:rsid w:val="00446E09"/>
    <w:rsid w:val="00446F68"/>
    <w:rsid w:val="0044704F"/>
    <w:rsid w:val="004472EE"/>
    <w:rsid w:val="004477E8"/>
    <w:rsid w:val="00447861"/>
    <w:rsid w:val="00447E6A"/>
    <w:rsid w:val="004500E3"/>
    <w:rsid w:val="004502C4"/>
    <w:rsid w:val="00450770"/>
    <w:rsid w:val="004507AE"/>
    <w:rsid w:val="00450A26"/>
    <w:rsid w:val="00450CA7"/>
    <w:rsid w:val="00450D2C"/>
    <w:rsid w:val="00450D2D"/>
    <w:rsid w:val="00450DF3"/>
    <w:rsid w:val="00450EC6"/>
    <w:rsid w:val="00450F6F"/>
    <w:rsid w:val="0045111C"/>
    <w:rsid w:val="00451151"/>
    <w:rsid w:val="004517B8"/>
    <w:rsid w:val="00451972"/>
    <w:rsid w:val="00451C7F"/>
    <w:rsid w:val="004525AD"/>
    <w:rsid w:val="00452705"/>
    <w:rsid w:val="0045275F"/>
    <w:rsid w:val="004528C7"/>
    <w:rsid w:val="004529E3"/>
    <w:rsid w:val="00452CC0"/>
    <w:rsid w:val="00452E8C"/>
    <w:rsid w:val="00453129"/>
    <w:rsid w:val="00453671"/>
    <w:rsid w:val="004539EF"/>
    <w:rsid w:val="00454040"/>
    <w:rsid w:val="004545DD"/>
    <w:rsid w:val="00454707"/>
    <w:rsid w:val="00454746"/>
    <w:rsid w:val="00455179"/>
    <w:rsid w:val="004562C3"/>
    <w:rsid w:val="0045634C"/>
    <w:rsid w:val="00456B3A"/>
    <w:rsid w:val="00457169"/>
    <w:rsid w:val="00457187"/>
    <w:rsid w:val="004578BE"/>
    <w:rsid w:val="00457B18"/>
    <w:rsid w:val="0046009B"/>
    <w:rsid w:val="00460506"/>
    <w:rsid w:val="004605E4"/>
    <w:rsid w:val="00460786"/>
    <w:rsid w:val="004608A0"/>
    <w:rsid w:val="004609C0"/>
    <w:rsid w:val="00460A68"/>
    <w:rsid w:val="00460BD8"/>
    <w:rsid w:val="00460CB3"/>
    <w:rsid w:val="0046105B"/>
    <w:rsid w:val="00461091"/>
    <w:rsid w:val="00461586"/>
    <w:rsid w:val="00461BE1"/>
    <w:rsid w:val="00461CBE"/>
    <w:rsid w:val="00461CC6"/>
    <w:rsid w:val="00461FA9"/>
    <w:rsid w:val="004620A7"/>
    <w:rsid w:val="00462B1B"/>
    <w:rsid w:val="00462BA4"/>
    <w:rsid w:val="00462C23"/>
    <w:rsid w:val="00462CA7"/>
    <w:rsid w:val="00462F8F"/>
    <w:rsid w:val="004634A8"/>
    <w:rsid w:val="004639A2"/>
    <w:rsid w:val="00463AD3"/>
    <w:rsid w:val="00464014"/>
    <w:rsid w:val="004641BC"/>
    <w:rsid w:val="004641E8"/>
    <w:rsid w:val="0046428D"/>
    <w:rsid w:val="00464323"/>
    <w:rsid w:val="00464722"/>
    <w:rsid w:val="00464E92"/>
    <w:rsid w:val="00465125"/>
    <w:rsid w:val="004656CA"/>
    <w:rsid w:val="00465757"/>
    <w:rsid w:val="004658A7"/>
    <w:rsid w:val="004658AE"/>
    <w:rsid w:val="00466731"/>
    <w:rsid w:val="00466ABF"/>
    <w:rsid w:val="00466D22"/>
    <w:rsid w:val="00466E9E"/>
    <w:rsid w:val="00467038"/>
    <w:rsid w:val="00467042"/>
    <w:rsid w:val="004675B9"/>
    <w:rsid w:val="00467774"/>
    <w:rsid w:val="00467A0B"/>
    <w:rsid w:val="00467D72"/>
    <w:rsid w:val="00467E0B"/>
    <w:rsid w:val="00467E10"/>
    <w:rsid w:val="0047012D"/>
    <w:rsid w:val="00470F13"/>
    <w:rsid w:val="00471471"/>
    <w:rsid w:val="0047152C"/>
    <w:rsid w:val="004719BF"/>
    <w:rsid w:val="004723B9"/>
    <w:rsid w:val="004725C1"/>
    <w:rsid w:val="0047264F"/>
    <w:rsid w:val="00472667"/>
    <w:rsid w:val="00472A81"/>
    <w:rsid w:val="00472F55"/>
    <w:rsid w:val="00472FD0"/>
    <w:rsid w:val="00473167"/>
    <w:rsid w:val="00473257"/>
    <w:rsid w:val="004734E7"/>
    <w:rsid w:val="00473552"/>
    <w:rsid w:val="004739B4"/>
    <w:rsid w:val="00473B5B"/>
    <w:rsid w:val="00474170"/>
    <w:rsid w:val="0047483E"/>
    <w:rsid w:val="00474A0D"/>
    <w:rsid w:val="0047524D"/>
    <w:rsid w:val="004752CF"/>
    <w:rsid w:val="00475330"/>
    <w:rsid w:val="00475410"/>
    <w:rsid w:val="0047591B"/>
    <w:rsid w:val="0047595E"/>
    <w:rsid w:val="00475E16"/>
    <w:rsid w:val="00476414"/>
    <w:rsid w:val="0047645A"/>
    <w:rsid w:val="004769E5"/>
    <w:rsid w:val="00476B5B"/>
    <w:rsid w:val="00476EE9"/>
    <w:rsid w:val="00477096"/>
    <w:rsid w:val="004770A0"/>
    <w:rsid w:val="004770F1"/>
    <w:rsid w:val="004771D7"/>
    <w:rsid w:val="004771E7"/>
    <w:rsid w:val="004772A2"/>
    <w:rsid w:val="004772F4"/>
    <w:rsid w:val="004779A4"/>
    <w:rsid w:val="00480114"/>
    <w:rsid w:val="00480827"/>
    <w:rsid w:val="00480916"/>
    <w:rsid w:val="004809A8"/>
    <w:rsid w:val="00480A24"/>
    <w:rsid w:val="00480A7B"/>
    <w:rsid w:val="00480DAC"/>
    <w:rsid w:val="0048104E"/>
    <w:rsid w:val="00481CC7"/>
    <w:rsid w:val="00481EC1"/>
    <w:rsid w:val="0048247A"/>
    <w:rsid w:val="004827CC"/>
    <w:rsid w:val="004827DD"/>
    <w:rsid w:val="00482DAF"/>
    <w:rsid w:val="00482E43"/>
    <w:rsid w:val="004830CD"/>
    <w:rsid w:val="004832B9"/>
    <w:rsid w:val="004833AD"/>
    <w:rsid w:val="0048359D"/>
    <w:rsid w:val="00483AD0"/>
    <w:rsid w:val="00483DE0"/>
    <w:rsid w:val="00483E6C"/>
    <w:rsid w:val="00484117"/>
    <w:rsid w:val="00484206"/>
    <w:rsid w:val="00484458"/>
    <w:rsid w:val="0048446E"/>
    <w:rsid w:val="0048448A"/>
    <w:rsid w:val="00484782"/>
    <w:rsid w:val="00484877"/>
    <w:rsid w:val="004848A6"/>
    <w:rsid w:val="00484F51"/>
    <w:rsid w:val="00484F78"/>
    <w:rsid w:val="004855DE"/>
    <w:rsid w:val="004857A0"/>
    <w:rsid w:val="00485809"/>
    <w:rsid w:val="00485DE1"/>
    <w:rsid w:val="0048651F"/>
    <w:rsid w:val="0048688C"/>
    <w:rsid w:val="00486A00"/>
    <w:rsid w:val="0048707D"/>
    <w:rsid w:val="00487D49"/>
    <w:rsid w:val="00487E64"/>
    <w:rsid w:val="00487F43"/>
    <w:rsid w:val="00490015"/>
    <w:rsid w:val="00490189"/>
    <w:rsid w:val="004902BA"/>
    <w:rsid w:val="00490947"/>
    <w:rsid w:val="00490A89"/>
    <w:rsid w:val="00490E01"/>
    <w:rsid w:val="0049101F"/>
    <w:rsid w:val="00491160"/>
    <w:rsid w:val="00491BD7"/>
    <w:rsid w:val="00491BDA"/>
    <w:rsid w:val="00491CE7"/>
    <w:rsid w:val="00491E90"/>
    <w:rsid w:val="00492110"/>
    <w:rsid w:val="004927F5"/>
    <w:rsid w:val="00492E7C"/>
    <w:rsid w:val="004934B3"/>
    <w:rsid w:val="004935C5"/>
    <w:rsid w:val="0049376D"/>
    <w:rsid w:val="004938FE"/>
    <w:rsid w:val="00493ECC"/>
    <w:rsid w:val="0049408C"/>
    <w:rsid w:val="0049442A"/>
    <w:rsid w:val="00494482"/>
    <w:rsid w:val="004945E7"/>
    <w:rsid w:val="0049465F"/>
    <w:rsid w:val="00494CA9"/>
    <w:rsid w:val="00494F30"/>
    <w:rsid w:val="00494FBD"/>
    <w:rsid w:val="00495438"/>
    <w:rsid w:val="00495527"/>
    <w:rsid w:val="00495621"/>
    <w:rsid w:val="00495769"/>
    <w:rsid w:val="00495775"/>
    <w:rsid w:val="00495A0B"/>
    <w:rsid w:val="00496A41"/>
    <w:rsid w:val="00496B0E"/>
    <w:rsid w:val="00496FBA"/>
    <w:rsid w:val="004970D4"/>
    <w:rsid w:val="00497213"/>
    <w:rsid w:val="004972E5"/>
    <w:rsid w:val="004974EE"/>
    <w:rsid w:val="00497765"/>
    <w:rsid w:val="004979DC"/>
    <w:rsid w:val="00497C9F"/>
    <w:rsid w:val="00497E4E"/>
    <w:rsid w:val="004A01F6"/>
    <w:rsid w:val="004A06C3"/>
    <w:rsid w:val="004A0807"/>
    <w:rsid w:val="004A0834"/>
    <w:rsid w:val="004A0A7B"/>
    <w:rsid w:val="004A0DB8"/>
    <w:rsid w:val="004A0ECA"/>
    <w:rsid w:val="004A0FFD"/>
    <w:rsid w:val="004A1218"/>
    <w:rsid w:val="004A1398"/>
    <w:rsid w:val="004A15E7"/>
    <w:rsid w:val="004A17ED"/>
    <w:rsid w:val="004A1E52"/>
    <w:rsid w:val="004A2131"/>
    <w:rsid w:val="004A27D5"/>
    <w:rsid w:val="004A2A98"/>
    <w:rsid w:val="004A2BE1"/>
    <w:rsid w:val="004A2C62"/>
    <w:rsid w:val="004A396F"/>
    <w:rsid w:val="004A39B7"/>
    <w:rsid w:val="004A3B0F"/>
    <w:rsid w:val="004A3B7F"/>
    <w:rsid w:val="004A3C01"/>
    <w:rsid w:val="004A3CA1"/>
    <w:rsid w:val="004A43F6"/>
    <w:rsid w:val="004A449E"/>
    <w:rsid w:val="004A4A5F"/>
    <w:rsid w:val="004A5078"/>
    <w:rsid w:val="004A61D2"/>
    <w:rsid w:val="004A6225"/>
    <w:rsid w:val="004A6706"/>
    <w:rsid w:val="004A68F3"/>
    <w:rsid w:val="004A6B6A"/>
    <w:rsid w:val="004A6BC8"/>
    <w:rsid w:val="004A6E87"/>
    <w:rsid w:val="004A7225"/>
    <w:rsid w:val="004A7270"/>
    <w:rsid w:val="004A7B0C"/>
    <w:rsid w:val="004A7BEB"/>
    <w:rsid w:val="004A7C65"/>
    <w:rsid w:val="004A7E4C"/>
    <w:rsid w:val="004A7E55"/>
    <w:rsid w:val="004B0262"/>
    <w:rsid w:val="004B041A"/>
    <w:rsid w:val="004B0475"/>
    <w:rsid w:val="004B0E4A"/>
    <w:rsid w:val="004B0EA4"/>
    <w:rsid w:val="004B10BF"/>
    <w:rsid w:val="004B12C5"/>
    <w:rsid w:val="004B1307"/>
    <w:rsid w:val="004B1703"/>
    <w:rsid w:val="004B1DE4"/>
    <w:rsid w:val="004B214E"/>
    <w:rsid w:val="004B2342"/>
    <w:rsid w:val="004B2779"/>
    <w:rsid w:val="004B2B82"/>
    <w:rsid w:val="004B2BB3"/>
    <w:rsid w:val="004B2CB4"/>
    <w:rsid w:val="004B2F99"/>
    <w:rsid w:val="004B38ED"/>
    <w:rsid w:val="004B3938"/>
    <w:rsid w:val="004B3D5A"/>
    <w:rsid w:val="004B3E93"/>
    <w:rsid w:val="004B4973"/>
    <w:rsid w:val="004B511B"/>
    <w:rsid w:val="004B5433"/>
    <w:rsid w:val="004B557F"/>
    <w:rsid w:val="004B57B8"/>
    <w:rsid w:val="004B58F4"/>
    <w:rsid w:val="004B5ACD"/>
    <w:rsid w:val="004B610F"/>
    <w:rsid w:val="004B6425"/>
    <w:rsid w:val="004B68B6"/>
    <w:rsid w:val="004B697A"/>
    <w:rsid w:val="004B6B2A"/>
    <w:rsid w:val="004B6BCE"/>
    <w:rsid w:val="004B6CD6"/>
    <w:rsid w:val="004B6CF1"/>
    <w:rsid w:val="004B6F8F"/>
    <w:rsid w:val="004B74F5"/>
    <w:rsid w:val="004B76AE"/>
    <w:rsid w:val="004B7774"/>
    <w:rsid w:val="004B7BC3"/>
    <w:rsid w:val="004C01DD"/>
    <w:rsid w:val="004C06B7"/>
    <w:rsid w:val="004C06BE"/>
    <w:rsid w:val="004C07C0"/>
    <w:rsid w:val="004C0870"/>
    <w:rsid w:val="004C0C06"/>
    <w:rsid w:val="004C106A"/>
    <w:rsid w:val="004C171D"/>
    <w:rsid w:val="004C180E"/>
    <w:rsid w:val="004C1E61"/>
    <w:rsid w:val="004C1ED0"/>
    <w:rsid w:val="004C1F6F"/>
    <w:rsid w:val="004C23BA"/>
    <w:rsid w:val="004C242C"/>
    <w:rsid w:val="004C299E"/>
    <w:rsid w:val="004C2A8C"/>
    <w:rsid w:val="004C2ED0"/>
    <w:rsid w:val="004C3617"/>
    <w:rsid w:val="004C3DAB"/>
    <w:rsid w:val="004C40A6"/>
    <w:rsid w:val="004C47DF"/>
    <w:rsid w:val="004C5042"/>
    <w:rsid w:val="004C53A4"/>
    <w:rsid w:val="004C5507"/>
    <w:rsid w:val="004C553E"/>
    <w:rsid w:val="004C5643"/>
    <w:rsid w:val="004C5B37"/>
    <w:rsid w:val="004C5CF1"/>
    <w:rsid w:val="004C5F64"/>
    <w:rsid w:val="004C60BB"/>
    <w:rsid w:val="004C618A"/>
    <w:rsid w:val="004C63A6"/>
    <w:rsid w:val="004C63DB"/>
    <w:rsid w:val="004C6655"/>
    <w:rsid w:val="004C6863"/>
    <w:rsid w:val="004C6CEF"/>
    <w:rsid w:val="004C6D7A"/>
    <w:rsid w:val="004C6DE1"/>
    <w:rsid w:val="004C7025"/>
    <w:rsid w:val="004C7121"/>
    <w:rsid w:val="004C7ABC"/>
    <w:rsid w:val="004C7F4E"/>
    <w:rsid w:val="004C7FCF"/>
    <w:rsid w:val="004D0101"/>
    <w:rsid w:val="004D016A"/>
    <w:rsid w:val="004D06B1"/>
    <w:rsid w:val="004D0940"/>
    <w:rsid w:val="004D1238"/>
    <w:rsid w:val="004D137F"/>
    <w:rsid w:val="004D1401"/>
    <w:rsid w:val="004D145B"/>
    <w:rsid w:val="004D17BC"/>
    <w:rsid w:val="004D18AD"/>
    <w:rsid w:val="004D1F5F"/>
    <w:rsid w:val="004D21B5"/>
    <w:rsid w:val="004D2478"/>
    <w:rsid w:val="004D2670"/>
    <w:rsid w:val="004D274F"/>
    <w:rsid w:val="004D2A60"/>
    <w:rsid w:val="004D3234"/>
    <w:rsid w:val="004D3271"/>
    <w:rsid w:val="004D36A2"/>
    <w:rsid w:val="004D376D"/>
    <w:rsid w:val="004D38C9"/>
    <w:rsid w:val="004D3ACE"/>
    <w:rsid w:val="004D416C"/>
    <w:rsid w:val="004D4233"/>
    <w:rsid w:val="004D44E4"/>
    <w:rsid w:val="004D45C7"/>
    <w:rsid w:val="004D4C19"/>
    <w:rsid w:val="004D4F1C"/>
    <w:rsid w:val="004D4FCD"/>
    <w:rsid w:val="004D52ED"/>
    <w:rsid w:val="004D55F2"/>
    <w:rsid w:val="004D570B"/>
    <w:rsid w:val="004D5921"/>
    <w:rsid w:val="004D601D"/>
    <w:rsid w:val="004D6221"/>
    <w:rsid w:val="004D675C"/>
    <w:rsid w:val="004D6B62"/>
    <w:rsid w:val="004D6E7A"/>
    <w:rsid w:val="004D716F"/>
    <w:rsid w:val="004D72F8"/>
    <w:rsid w:val="004D7372"/>
    <w:rsid w:val="004D74C0"/>
    <w:rsid w:val="004D7592"/>
    <w:rsid w:val="004D75AD"/>
    <w:rsid w:val="004D785A"/>
    <w:rsid w:val="004E028F"/>
    <w:rsid w:val="004E043F"/>
    <w:rsid w:val="004E054A"/>
    <w:rsid w:val="004E0880"/>
    <w:rsid w:val="004E0BA1"/>
    <w:rsid w:val="004E0BDC"/>
    <w:rsid w:val="004E0CD4"/>
    <w:rsid w:val="004E1014"/>
    <w:rsid w:val="004E1722"/>
    <w:rsid w:val="004E188D"/>
    <w:rsid w:val="004E1E8D"/>
    <w:rsid w:val="004E23AA"/>
    <w:rsid w:val="004E2620"/>
    <w:rsid w:val="004E2BF9"/>
    <w:rsid w:val="004E35A3"/>
    <w:rsid w:val="004E3686"/>
    <w:rsid w:val="004E370B"/>
    <w:rsid w:val="004E372A"/>
    <w:rsid w:val="004E38EE"/>
    <w:rsid w:val="004E3E2E"/>
    <w:rsid w:val="004E3FAB"/>
    <w:rsid w:val="004E44C0"/>
    <w:rsid w:val="004E45B4"/>
    <w:rsid w:val="004E466C"/>
    <w:rsid w:val="004E4697"/>
    <w:rsid w:val="004E4B1F"/>
    <w:rsid w:val="004E5278"/>
    <w:rsid w:val="004E53A5"/>
    <w:rsid w:val="004E55D0"/>
    <w:rsid w:val="004E58A6"/>
    <w:rsid w:val="004E5E3E"/>
    <w:rsid w:val="004E5F51"/>
    <w:rsid w:val="004E657A"/>
    <w:rsid w:val="004E688D"/>
    <w:rsid w:val="004E6DFB"/>
    <w:rsid w:val="004E6E06"/>
    <w:rsid w:val="004E6F8A"/>
    <w:rsid w:val="004E7880"/>
    <w:rsid w:val="004F0337"/>
    <w:rsid w:val="004F03B8"/>
    <w:rsid w:val="004F0406"/>
    <w:rsid w:val="004F074A"/>
    <w:rsid w:val="004F0799"/>
    <w:rsid w:val="004F0C17"/>
    <w:rsid w:val="004F0D38"/>
    <w:rsid w:val="004F0D9F"/>
    <w:rsid w:val="004F112B"/>
    <w:rsid w:val="004F173E"/>
    <w:rsid w:val="004F178C"/>
    <w:rsid w:val="004F230D"/>
    <w:rsid w:val="004F276E"/>
    <w:rsid w:val="004F2958"/>
    <w:rsid w:val="004F2AE7"/>
    <w:rsid w:val="004F2D15"/>
    <w:rsid w:val="004F2D7C"/>
    <w:rsid w:val="004F330A"/>
    <w:rsid w:val="004F34E0"/>
    <w:rsid w:val="004F3EAA"/>
    <w:rsid w:val="004F41CA"/>
    <w:rsid w:val="004F425C"/>
    <w:rsid w:val="004F42D8"/>
    <w:rsid w:val="004F447D"/>
    <w:rsid w:val="004F4648"/>
    <w:rsid w:val="004F47C8"/>
    <w:rsid w:val="004F4920"/>
    <w:rsid w:val="004F49E5"/>
    <w:rsid w:val="004F4B76"/>
    <w:rsid w:val="004F4E6B"/>
    <w:rsid w:val="004F509B"/>
    <w:rsid w:val="004F5A47"/>
    <w:rsid w:val="004F5E4E"/>
    <w:rsid w:val="004F5E5F"/>
    <w:rsid w:val="004F5EC9"/>
    <w:rsid w:val="004F6742"/>
    <w:rsid w:val="004F6A25"/>
    <w:rsid w:val="004F6B56"/>
    <w:rsid w:val="004F6C0D"/>
    <w:rsid w:val="004F6DC5"/>
    <w:rsid w:val="004F6F8F"/>
    <w:rsid w:val="004F704C"/>
    <w:rsid w:val="004F749B"/>
    <w:rsid w:val="004F74BB"/>
    <w:rsid w:val="004F74E6"/>
    <w:rsid w:val="004F7753"/>
    <w:rsid w:val="004F79C7"/>
    <w:rsid w:val="004F7B6F"/>
    <w:rsid w:val="00500091"/>
    <w:rsid w:val="005001D3"/>
    <w:rsid w:val="005005AB"/>
    <w:rsid w:val="0050068A"/>
    <w:rsid w:val="00500795"/>
    <w:rsid w:val="00500C24"/>
    <w:rsid w:val="00500F41"/>
    <w:rsid w:val="00501186"/>
    <w:rsid w:val="00501194"/>
    <w:rsid w:val="00501734"/>
    <w:rsid w:val="0050196A"/>
    <w:rsid w:val="00501977"/>
    <w:rsid w:val="0050206A"/>
    <w:rsid w:val="005025D4"/>
    <w:rsid w:val="005027E3"/>
    <w:rsid w:val="005028B3"/>
    <w:rsid w:val="00502DE2"/>
    <w:rsid w:val="00502FA8"/>
    <w:rsid w:val="0050310F"/>
    <w:rsid w:val="00503115"/>
    <w:rsid w:val="0050362D"/>
    <w:rsid w:val="0050368C"/>
    <w:rsid w:val="00503B08"/>
    <w:rsid w:val="00503B0F"/>
    <w:rsid w:val="00503C09"/>
    <w:rsid w:val="00504246"/>
    <w:rsid w:val="00505541"/>
    <w:rsid w:val="00505619"/>
    <w:rsid w:val="005058F4"/>
    <w:rsid w:val="00505B2E"/>
    <w:rsid w:val="00505EC8"/>
    <w:rsid w:val="00505FD6"/>
    <w:rsid w:val="00506017"/>
    <w:rsid w:val="0050603C"/>
    <w:rsid w:val="00506904"/>
    <w:rsid w:val="00506924"/>
    <w:rsid w:val="00506AC4"/>
    <w:rsid w:val="00506CE3"/>
    <w:rsid w:val="005073F0"/>
    <w:rsid w:val="00507659"/>
    <w:rsid w:val="00507AE7"/>
    <w:rsid w:val="00507B8D"/>
    <w:rsid w:val="00507EFE"/>
    <w:rsid w:val="00507F80"/>
    <w:rsid w:val="00510590"/>
    <w:rsid w:val="00510B45"/>
    <w:rsid w:val="00510CCA"/>
    <w:rsid w:val="00510F20"/>
    <w:rsid w:val="005112DF"/>
    <w:rsid w:val="005116AC"/>
    <w:rsid w:val="0051191A"/>
    <w:rsid w:val="00511C19"/>
    <w:rsid w:val="00511D47"/>
    <w:rsid w:val="005121C9"/>
    <w:rsid w:val="0051294D"/>
    <w:rsid w:val="00512A63"/>
    <w:rsid w:val="005131BD"/>
    <w:rsid w:val="00513409"/>
    <w:rsid w:val="00513617"/>
    <w:rsid w:val="00513641"/>
    <w:rsid w:val="005139A2"/>
    <w:rsid w:val="00513B67"/>
    <w:rsid w:val="00513CC0"/>
    <w:rsid w:val="00513D3A"/>
    <w:rsid w:val="00514928"/>
    <w:rsid w:val="005149C2"/>
    <w:rsid w:val="00514A35"/>
    <w:rsid w:val="00514C64"/>
    <w:rsid w:val="0051552A"/>
    <w:rsid w:val="0051562A"/>
    <w:rsid w:val="00515C33"/>
    <w:rsid w:val="0051601A"/>
    <w:rsid w:val="0051634C"/>
    <w:rsid w:val="00516D03"/>
    <w:rsid w:val="00517186"/>
    <w:rsid w:val="00517451"/>
    <w:rsid w:val="00517482"/>
    <w:rsid w:val="00517863"/>
    <w:rsid w:val="005179E1"/>
    <w:rsid w:val="00517B15"/>
    <w:rsid w:val="00517F17"/>
    <w:rsid w:val="005208D4"/>
    <w:rsid w:val="00521014"/>
    <w:rsid w:val="00521303"/>
    <w:rsid w:val="0052152D"/>
    <w:rsid w:val="00521701"/>
    <w:rsid w:val="005223B8"/>
    <w:rsid w:val="00522E38"/>
    <w:rsid w:val="00522FAD"/>
    <w:rsid w:val="0052343F"/>
    <w:rsid w:val="005235BB"/>
    <w:rsid w:val="00523A0D"/>
    <w:rsid w:val="00523FA6"/>
    <w:rsid w:val="00524622"/>
    <w:rsid w:val="005247A9"/>
    <w:rsid w:val="00524D11"/>
    <w:rsid w:val="00524F02"/>
    <w:rsid w:val="00524FBC"/>
    <w:rsid w:val="005255D4"/>
    <w:rsid w:val="005258D1"/>
    <w:rsid w:val="00525A1B"/>
    <w:rsid w:val="0052642A"/>
    <w:rsid w:val="0052648C"/>
    <w:rsid w:val="00526504"/>
    <w:rsid w:val="00526599"/>
    <w:rsid w:val="00526A01"/>
    <w:rsid w:val="00526A87"/>
    <w:rsid w:val="00526B12"/>
    <w:rsid w:val="0052715B"/>
    <w:rsid w:val="0052723D"/>
    <w:rsid w:val="0052736A"/>
    <w:rsid w:val="00530668"/>
    <w:rsid w:val="005307FD"/>
    <w:rsid w:val="005308CD"/>
    <w:rsid w:val="00530BD7"/>
    <w:rsid w:val="00530E7D"/>
    <w:rsid w:val="00530F62"/>
    <w:rsid w:val="0053100B"/>
    <w:rsid w:val="0053163C"/>
    <w:rsid w:val="0053172F"/>
    <w:rsid w:val="005317A0"/>
    <w:rsid w:val="00531822"/>
    <w:rsid w:val="00531984"/>
    <w:rsid w:val="00531A74"/>
    <w:rsid w:val="00532304"/>
    <w:rsid w:val="00532B56"/>
    <w:rsid w:val="00532D26"/>
    <w:rsid w:val="00532E54"/>
    <w:rsid w:val="00532FD0"/>
    <w:rsid w:val="00533159"/>
    <w:rsid w:val="005331C4"/>
    <w:rsid w:val="0053386E"/>
    <w:rsid w:val="00533E87"/>
    <w:rsid w:val="0053402A"/>
    <w:rsid w:val="0053438D"/>
    <w:rsid w:val="005346BD"/>
    <w:rsid w:val="005348CB"/>
    <w:rsid w:val="00534A65"/>
    <w:rsid w:val="00534DAD"/>
    <w:rsid w:val="00535616"/>
    <w:rsid w:val="0053577E"/>
    <w:rsid w:val="005358EE"/>
    <w:rsid w:val="00535C56"/>
    <w:rsid w:val="00535E19"/>
    <w:rsid w:val="00535FCF"/>
    <w:rsid w:val="00535FF9"/>
    <w:rsid w:val="00536040"/>
    <w:rsid w:val="005360CF"/>
    <w:rsid w:val="0053668E"/>
    <w:rsid w:val="005369D7"/>
    <w:rsid w:val="00536B47"/>
    <w:rsid w:val="00536C6F"/>
    <w:rsid w:val="00536F79"/>
    <w:rsid w:val="00537269"/>
    <w:rsid w:val="00537404"/>
    <w:rsid w:val="00537479"/>
    <w:rsid w:val="005376DF"/>
    <w:rsid w:val="00537A29"/>
    <w:rsid w:val="00537F6D"/>
    <w:rsid w:val="00540C10"/>
    <w:rsid w:val="00541367"/>
    <w:rsid w:val="00541386"/>
    <w:rsid w:val="005413E9"/>
    <w:rsid w:val="005415F3"/>
    <w:rsid w:val="00541913"/>
    <w:rsid w:val="00541FC2"/>
    <w:rsid w:val="00541FEB"/>
    <w:rsid w:val="00542618"/>
    <w:rsid w:val="005429AB"/>
    <w:rsid w:val="00542CEB"/>
    <w:rsid w:val="0054342C"/>
    <w:rsid w:val="0054394B"/>
    <w:rsid w:val="00543958"/>
    <w:rsid w:val="00543991"/>
    <w:rsid w:val="00543B5B"/>
    <w:rsid w:val="00543BBB"/>
    <w:rsid w:val="00543CAB"/>
    <w:rsid w:val="00543DD8"/>
    <w:rsid w:val="00544C9C"/>
    <w:rsid w:val="0054521B"/>
    <w:rsid w:val="005459B7"/>
    <w:rsid w:val="00545AB3"/>
    <w:rsid w:val="00545AF0"/>
    <w:rsid w:val="00545DD7"/>
    <w:rsid w:val="00546212"/>
    <w:rsid w:val="0054648D"/>
    <w:rsid w:val="00546CBD"/>
    <w:rsid w:val="00546CEE"/>
    <w:rsid w:val="005471B5"/>
    <w:rsid w:val="005471E0"/>
    <w:rsid w:val="00547CE3"/>
    <w:rsid w:val="005502FF"/>
    <w:rsid w:val="00550400"/>
    <w:rsid w:val="005504FA"/>
    <w:rsid w:val="005506E7"/>
    <w:rsid w:val="005509B3"/>
    <w:rsid w:val="00550B2F"/>
    <w:rsid w:val="00550CEC"/>
    <w:rsid w:val="00551244"/>
    <w:rsid w:val="0055181F"/>
    <w:rsid w:val="005519F5"/>
    <w:rsid w:val="00551DF5"/>
    <w:rsid w:val="00551EF0"/>
    <w:rsid w:val="00551F87"/>
    <w:rsid w:val="00552236"/>
    <w:rsid w:val="0055257D"/>
    <w:rsid w:val="0055288D"/>
    <w:rsid w:val="00552CCE"/>
    <w:rsid w:val="00552FAE"/>
    <w:rsid w:val="00553263"/>
    <w:rsid w:val="005533FE"/>
    <w:rsid w:val="00553BDD"/>
    <w:rsid w:val="00553CAD"/>
    <w:rsid w:val="00553F64"/>
    <w:rsid w:val="00553FF5"/>
    <w:rsid w:val="00554600"/>
    <w:rsid w:val="005547D9"/>
    <w:rsid w:val="005548F7"/>
    <w:rsid w:val="0055490E"/>
    <w:rsid w:val="00554E50"/>
    <w:rsid w:val="005552C1"/>
    <w:rsid w:val="005555DB"/>
    <w:rsid w:val="00555797"/>
    <w:rsid w:val="00555A1B"/>
    <w:rsid w:val="00555E03"/>
    <w:rsid w:val="00555E0F"/>
    <w:rsid w:val="00555EB2"/>
    <w:rsid w:val="00555F60"/>
    <w:rsid w:val="00556173"/>
    <w:rsid w:val="00556426"/>
    <w:rsid w:val="00556551"/>
    <w:rsid w:val="005565FB"/>
    <w:rsid w:val="005569C3"/>
    <w:rsid w:val="005569F0"/>
    <w:rsid w:val="00556B52"/>
    <w:rsid w:val="00556CED"/>
    <w:rsid w:val="00556E7D"/>
    <w:rsid w:val="00556EF3"/>
    <w:rsid w:val="00556F14"/>
    <w:rsid w:val="00556F1E"/>
    <w:rsid w:val="0055741E"/>
    <w:rsid w:val="00560124"/>
    <w:rsid w:val="005602A3"/>
    <w:rsid w:val="005602A5"/>
    <w:rsid w:val="00560495"/>
    <w:rsid w:val="00560782"/>
    <w:rsid w:val="00560A04"/>
    <w:rsid w:val="00560BC3"/>
    <w:rsid w:val="00560C20"/>
    <w:rsid w:val="00560D09"/>
    <w:rsid w:val="00561061"/>
    <w:rsid w:val="005610D6"/>
    <w:rsid w:val="005611AF"/>
    <w:rsid w:val="005614E8"/>
    <w:rsid w:val="0056151F"/>
    <w:rsid w:val="005616DC"/>
    <w:rsid w:val="0056173B"/>
    <w:rsid w:val="005618B9"/>
    <w:rsid w:val="00561AFD"/>
    <w:rsid w:val="00561D19"/>
    <w:rsid w:val="0056249F"/>
    <w:rsid w:val="00562660"/>
    <w:rsid w:val="00562684"/>
    <w:rsid w:val="00562A07"/>
    <w:rsid w:val="00562A62"/>
    <w:rsid w:val="00563126"/>
    <w:rsid w:val="0056365F"/>
    <w:rsid w:val="00563752"/>
    <w:rsid w:val="005637EC"/>
    <w:rsid w:val="0056389B"/>
    <w:rsid w:val="005638A4"/>
    <w:rsid w:val="00563BFE"/>
    <w:rsid w:val="00563F2A"/>
    <w:rsid w:val="005640FB"/>
    <w:rsid w:val="00564458"/>
    <w:rsid w:val="005649B0"/>
    <w:rsid w:val="0056546B"/>
    <w:rsid w:val="00565597"/>
    <w:rsid w:val="005655FD"/>
    <w:rsid w:val="0056566B"/>
    <w:rsid w:val="0056579E"/>
    <w:rsid w:val="00565B72"/>
    <w:rsid w:val="00565F21"/>
    <w:rsid w:val="005668C1"/>
    <w:rsid w:val="00566FFA"/>
    <w:rsid w:val="0056742A"/>
    <w:rsid w:val="00567630"/>
    <w:rsid w:val="005677A7"/>
    <w:rsid w:val="00567D0F"/>
    <w:rsid w:val="00567E7F"/>
    <w:rsid w:val="00570053"/>
    <w:rsid w:val="00571053"/>
    <w:rsid w:val="00571073"/>
    <w:rsid w:val="00571123"/>
    <w:rsid w:val="0057116B"/>
    <w:rsid w:val="0057135C"/>
    <w:rsid w:val="0057144D"/>
    <w:rsid w:val="00571517"/>
    <w:rsid w:val="00571538"/>
    <w:rsid w:val="0057180D"/>
    <w:rsid w:val="005719C2"/>
    <w:rsid w:val="005719E2"/>
    <w:rsid w:val="00571DCB"/>
    <w:rsid w:val="00571E2D"/>
    <w:rsid w:val="0057204B"/>
    <w:rsid w:val="005720DC"/>
    <w:rsid w:val="005723CA"/>
    <w:rsid w:val="005726E1"/>
    <w:rsid w:val="00572705"/>
    <w:rsid w:val="00572C1D"/>
    <w:rsid w:val="00572E25"/>
    <w:rsid w:val="00572F8B"/>
    <w:rsid w:val="0057303B"/>
    <w:rsid w:val="005733B7"/>
    <w:rsid w:val="005734D4"/>
    <w:rsid w:val="00573B3D"/>
    <w:rsid w:val="00573C63"/>
    <w:rsid w:val="00573D8D"/>
    <w:rsid w:val="00574339"/>
    <w:rsid w:val="0057476B"/>
    <w:rsid w:val="005749BA"/>
    <w:rsid w:val="00574C25"/>
    <w:rsid w:val="00574D14"/>
    <w:rsid w:val="00574DAF"/>
    <w:rsid w:val="00575203"/>
    <w:rsid w:val="0057582E"/>
    <w:rsid w:val="00575964"/>
    <w:rsid w:val="00575AF4"/>
    <w:rsid w:val="00575FD3"/>
    <w:rsid w:val="005763DB"/>
    <w:rsid w:val="00576680"/>
    <w:rsid w:val="00576774"/>
    <w:rsid w:val="00576A64"/>
    <w:rsid w:val="00576AAA"/>
    <w:rsid w:val="00576B66"/>
    <w:rsid w:val="00576D83"/>
    <w:rsid w:val="005775B3"/>
    <w:rsid w:val="00577660"/>
    <w:rsid w:val="00577D0C"/>
    <w:rsid w:val="00577D14"/>
    <w:rsid w:val="005800BD"/>
    <w:rsid w:val="005803C6"/>
    <w:rsid w:val="00580548"/>
    <w:rsid w:val="005807CA"/>
    <w:rsid w:val="00580E42"/>
    <w:rsid w:val="00581087"/>
    <w:rsid w:val="005812AA"/>
    <w:rsid w:val="00581D66"/>
    <w:rsid w:val="005823F1"/>
    <w:rsid w:val="00582757"/>
    <w:rsid w:val="00582AA7"/>
    <w:rsid w:val="00582DD2"/>
    <w:rsid w:val="00582E01"/>
    <w:rsid w:val="00583210"/>
    <w:rsid w:val="005835AC"/>
    <w:rsid w:val="00583C34"/>
    <w:rsid w:val="00583D81"/>
    <w:rsid w:val="00584305"/>
    <w:rsid w:val="005843DB"/>
    <w:rsid w:val="005846EF"/>
    <w:rsid w:val="00584AC8"/>
    <w:rsid w:val="00584CD2"/>
    <w:rsid w:val="00585204"/>
    <w:rsid w:val="005852E9"/>
    <w:rsid w:val="0058587C"/>
    <w:rsid w:val="005858FB"/>
    <w:rsid w:val="00585CCB"/>
    <w:rsid w:val="00585FDA"/>
    <w:rsid w:val="00586061"/>
    <w:rsid w:val="0058613F"/>
    <w:rsid w:val="00586282"/>
    <w:rsid w:val="005866DF"/>
    <w:rsid w:val="0058697D"/>
    <w:rsid w:val="00586F33"/>
    <w:rsid w:val="00587308"/>
    <w:rsid w:val="0058751E"/>
    <w:rsid w:val="00587A23"/>
    <w:rsid w:val="00587ABA"/>
    <w:rsid w:val="00587AC7"/>
    <w:rsid w:val="005900ED"/>
    <w:rsid w:val="005901EF"/>
    <w:rsid w:val="0059022B"/>
    <w:rsid w:val="005907F4"/>
    <w:rsid w:val="00591150"/>
    <w:rsid w:val="005912DC"/>
    <w:rsid w:val="00591558"/>
    <w:rsid w:val="00591741"/>
    <w:rsid w:val="0059192E"/>
    <w:rsid w:val="00591E36"/>
    <w:rsid w:val="005922A4"/>
    <w:rsid w:val="00592561"/>
    <w:rsid w:val="005927DE"/>
    <w:rsid w:val="0059280E"/>
    <w:rsid w:val="005928B7"/>
    <w:rsid w:val="0059296D"/>
    <w:rsid w:val="005930A3"/>
    <w:rsid w:val="0059315D"/>
    <w:rsid w:val="00593179"/>
    <w:rsid w:val="00593618"/>
    <w:rsid w:val="0059369D"/>
    <w:rsid w:val="00593824"/>
    <w:rsid w:val="00593F9F"/>
    <w:rsid w:val="005942DC"/>
    <w:rsid w:val="005946DD"/>
    <w:rsid w:val="005947A9"/>
    <w:rsid w:val="00594929"/>
    <w:rsid w:val="00594B30"/>
    <w:rsid w:val="0059502D"/>
    <w:rsid w:val="0059516C"/>
    <w:rsid w:val="0059533B"/>
    <w:rsid w:val="00595544"/>
    <w:rsid w:val="00595619"/>
    <w:rsid w:val="00595921"/>
    <w:rsid w:val="00595B99"/>
    <w:rsid w:val="00595EAB"/>
    <w:rsid w:val="00596312"/>
    <w:rsid w:val="00596615"/>
    <w:rsid w:val="0059661C"/>
    <w:rsid w:val="0059684A"/>
    <w:rsid w:val="0059701D"/>
    <w:rsid w:val="0059707A"/>
    <w:rsid w:val="005971C0"/>
    <w:rsid w:val="005974B8"/>
    <w:rsid w:val="005975B4"/>
    <w:rsid w:val="0059767C"/>
    <w:rsid w:val="00597C3B"/>
    <w:rsid w:val="005A04C9"/>
    <w:rsid w:val="005A0793"/>
    <w:rsid w:val="005A0845"/>
    <w:rsid w:val="005A0A53"/>
    <w:rsid w:val="005A0F49"/>
    <w:rsid w:val="005A1273"/>
    <w:rsid w:val="005A195E"/>
    <w:rsid w:val="005A1A24"/>
    <w:rsid w:val="005A22AD"/>
    <w:rsid w:val="005A2830"/>
    <w:rsid w:val="005A2AD9"/>
    <w:rsid w:val="005A2CDF"/>
    <w:rsid w:val="005A3219"/>
    <w:rsid w:val="005A33BC"/>
    <w:rsid w:val="005A35EC"/>
    <w:rsid w:val="005A379C"/>
    <w:rsid w:val="005A39D5"/>
    <w:rsid w:val="005A3C53"/>
    <w:rsid w:val="005A3D19"/>
    <w:rsid w:val="005A3DE9"/>
    <w:rsid w:val="005A3F61"/>
    <w:rsid w:val="005A3FE4"/>
    <w:rsid w:val="005A426C"/>
    <w:rsid w:val="005A5237"/>
    <w:rsid w:val="005A59DB"/>
    <w:rsid w:val="005A59F3"/>
    <w:rsid w:val="005A5A41"/>
    <w:rsid w:val="005A5C82"/>
    <w:rsid w:val="005A63EC"/>
    <w:rsid w:val="005A6B4D"/>
    <w:rsid w:val="005A71BB"/>
    <w:rsid w:val="005A74AE"/>
    <w:rsid w:val="005A7882"/>
    <w:rsid w:val="005A7B66"/>
    <w:rsid w:val="005A7DD4"/>
    <w:rsid w:val="005A7F6F"/>
    <w:rsid w:val="005B030F"/>
    <w:rsid w:val="005B051F"/>
    <w:rsid w:val="005B06DE"/>
    <w:rsid w:val="005B08A9"/>
    <w:rsid w:val="005B1F63"/>
    <w:rsid w:val="005B221A"/>
    <w:rsid w:val="005B2458"/>
    <w:rsid w:val="005B27A6"/>
    <w:rsid w:val="005B29C2"/>
    <w:rsid w:val="005B2BEB"/>
    <w:rsid w:val="005B2F9B"/>
    <w:rsid w:val="005B2FCF"/>
    <w:rsid w:val="005B37AE"/>
    <w:rsid w:val="005B3B42"/>
    <w:rsid w:val="005B3DFA"/>
    <w:rsid w:val="005B3E09"/>
    <w:rsid w:val="005B3EA5"/>
    <w:rsid w:val="005B43C9"/>
    <w:rsid w:val="005B449F"/>
    <w:rsid w:val="005B4911"/>
    <w:rsid w:val="005B4B23"/>
    <w:rsid w:val="005B4E48"/>
    <w:rsid w:val="005B5A2B"/>
    <w:rsid w:val="005B5C19"/>
    <w:rsid w:val="005B5DF6"/>
    <w:rsid w:val="005B5FD0"/>
    <w:rsid w:val="005B6187"/>
    <w:rsid w:val="005B6C40"/>
    <w:rsid w:val="005B72F8"/>
    <w:rsid w:val="005B766D"/>
    <w:rsid w:val="005B7AB3"/>
    <w:rsid w:val="005B7BC7"/>
    <w:rsid w:val="005B7E0A"/>
    <w:rsid w:val="005B7FE6"/>
    <w:rsid w:val="005C031E"/>
    <w:rsid w:val="005C08D7"/>
    <w:rsid w:val="005C0BD2"/>
    <w:rsid w:val="005C0DAA"/>
    <w:rsid w:val="005C0DC5"/>
    <w:rsid w:val="005C136D"/>
    <w:rsid w:val="005C179A"/>
    <w:rsid w:val="005C1EBE"/>
    <w:rsid w:val="005C1EFE"/>
    <w:rsid w:val="005C24EA"/>
    <w:rsid w:val="005C29E0"/>
    <w:rsid w:val="005C2C12"/>
    <w:rsid w:val="005C306B"/>
    <w:rsid w:val="005C321B"/>
    <w:rsid w:val="005C3491"/>
    <w:rsid w:val="005C34F5"/>
    <w:rsid w:val="005C352B"/>
    <w:rsid w:val="005C3EE7"/>
    <w:rsid w:val="005C409E"/>
    <w:rsid w:val="005C41BC"/>
    <w:rsid w:val="005C44A6"/>
    <w:rsid w:val="005C48F3"/>
    <w:rsid w:val="005C4A51"/>
    <w:rsid w:val="005C4AD6"/>
    <w:rsid w:val="005C51FC"/>
    <w:rsid w:val="005C54A4"/>
    <w:rsid w:val="005C5B22"/>
    <w:rsid w:val="005C5BF9"/>
    <w:rsid w:val="005C603E"/>
    <w:rsid w:val="005C65BE"/>
    <w:rsid w:val="005C69CD"/>
    <w:rsid w:val="005C6B63"/>
    <w:rsid w:val="005C6B78"/>
    <w:rsid w:val="005C6BD9"/>
    <w:rsid w:val="005C7B7E"/>
    <w:rsid w:val="005C7DC6"/>
    <w:rsid w:val="005D0188"/>
    <w:rsid w:val="005D01DB"/>
    <w:rsid w:val="005D0232"/>
    <w:rsid w:val="005D03B5"/>
    <w:rsid w:val="005D0760"/>
    <w:rsid w:val="005D097D"/>
    <w:rsid w:val="005D0D05"/>
    <w:rsid w:val="005D0E68"/>
    <w:rsid w:val="005D15D4"/>
    <w:rsid w:val="005D1CCD"/>
    <w:rsid w:val="005D206E"/>
    <w:rsid w:val="005D2133"/>
    <w:rsid w:val="005D262B"/>
    <w:rsid w:val="005D2ACF"/>
    <w:rsid w:val="005D2BD0"/>
    <w:rsid w:val="005D2C91"/>
    <w:rsid w:val="005D2D3A"/>
    <w:rsid w:val="005D2D47"/>
    <w:rsid w:val="005D2DFD"/>
    <w:rsid w:val="005D31EB"/>
    <w:rsid w:val="005D31F2"/>
    <w:rsid w:val="005D3255"/>
    <w:rsid w:val="005D33AA"/>
    <w:rsid w:val="005D35DB"/>
    <w:rsid w:val="005D3D77"/>
    <w:rsid w:val="005D3FA8"/>
    <w:rsid w:val="005D4484"/>
    <w:rsid w:val="005D4774"/>
    <w:rsid w:val="005D47E5"/>
    <w:rsid w:val="005D484D"/>
    <w:rsid w:val="005D4E38"/>
    <w:rsid w:val="005D53DC"/>
    <w:rsid w:val="005D55DD"/>
    <w:rsid w:val="005D5978"/>
    <w:rsid w:val="005D5B48"/>
    <w:rsid w:val="005D5C7A"/>
    <w:rsid w:val="005D5ECC"/>
    <w:rsid w:val="005D5F7F"/>
    <w:rsid w:val="005D61E0"/>
    <w:rsid w:val="005D635A"/>
    <w:rsid w:val="005D68C9"/>
    <w:rsid w:val="005D69DA"/>
    <w:rsid w:val="005D732C"/>
    <w:rsid w:val="005D749F"/>
    <w:rsid w:val="005D768D"/>
    <w:rsid w:val="005D7707"/>
    <w:rsid w:val="005E018F"/>
    <w:rsid w:val="005E01A2"/>
    <w:rsid w:val="005E03FA"/>
    <w:rsid w:val="005E0AF5"/>
    <w:rsid w:val="005E0B89"/>
    <w:rsid w:val="005E0EFE"/>
    <w:rsid w:val="005E1394"/>
    <w:rsid w:val="005E18C7"/>
    <w:rsid w:val="005E1A7D"/>
    <w:rsid w:val="005E1AD9"/>
    <w:rsid w:val="005E1D92"/>
    <w:rsid w:val="005E1DEB"/>
    <w:rsid w:val="005E1FD3"/>
    <w:rsid w:val="005E236B"/>
    <w:rsid w:val="005E2451"/>
    <w:rsid w:val="005E2C16"/>
    <w:rsid w:val="005E2D9E"/>
    <w:rsid w:val="005E2FE3"/>
    <w:rsid w:val="005E306A"/>
    <w:rsid w:val="005E30A3"/>
    <w:rsid w:val="005E325D"/>
    <w:rsid w:val="005E3AF3"/>
    <w:rsid w:val="005E3B2D"/>
    <w:rsid w:val="005E3C2F"/>
    <w:rsid w:val="005E4275"/>
    <w:rsid w:val="005E5050"/>
    <w:rsid w:val="005E516C"/>
    <w:rsid w:val="005E52C2"/>
    <w:rsid w:val="005E5483"/>
    <w:rsid w:val="005E56EE"/>
    <w:rsid w:val="005E5754"/>
    <w:rsid w:val="005E584F"/>
    <w:rsid w:val="005E5987"/>
    <w:rsid w:val="005E5CAE"/>
    <w:rsid w:val="005E61FA"/>
    <w:rsid w:val="005E68C7"/>
    <w:rsid w:val="005E6AD2"/>
    <w:rsid w:val="005E6CA4"/>
    <w:rsid w:val="005E6D28"/>
    <w:rsid w:val="005E7502"/>
    <w:rsid w:val="005E76B3"/>
    <w:rsid w:val="005E76E1"/>
    <w:rsid w:val="005E77A7"/>
    <w:rsid w:val="005F00F0"/>
    <w:rsid w:val="005F03E3"/>
    <w:rsid w:val="005F07C1"/>
    <w:rsid w:val="005F0D42"/>
    <w:rsid w:val="005F11F4"/>
    <w:rsid w:val="005F152F"/>
    <w:rsid w:val="005F17E5"/>
    <w:rsid w:val="005F1AAA"/>
    <w:rsid w:val="005F1AD4"/>
    <w:rsid w:val="005F1E39"/>
    <w:rsid w:val="005F1F4C"/>
    <w:rsid w:val="005F21FA"/>
    <w:rsid w:val="005F26AE"/>
    <w:rsid w:val="005F27CB"/>
    <w:rsid w:val="005F2BAE"/>
    <w:rsid w:val="005F2CE5"/>
    <w:rsid w:val="005F31A2"/>
    <w:rsid w:val="005F3487"/>
    <w:rsid w:val="005F39D3"/>
    <w:rsid w:val="005F3B25"/>
    <w:rsid w:val="005F3D78"/>
    <w:rsid w:val="005F45C2"/>
    <w:rsid w:val="005F4BB1"/>
    <w:rsid w:val="005F4D0A"/>
    <w:rsid w:val="005F4EBD"/>
    <w:rsid w:val="005F5428"/>
    <w:rsid w:val="005F56C9"/>
    <w:rsid w:val="005F5DD3"/>
    <w:rsid w:val="005F628F"/>
    <w:rsid w:val="005F633A"/>
    <w:rsid w:val="005F68CB"/>
    <w:rsid w:val="005F6984"/>
    <w:rsid w:val="005F6C26"/>
    <w:rsid w:val="005F6CB4"/>
    <w:rsid w:val="005F7023"/>
    <w:rsid w:val="005F7215"/>
    <w:rsid w:val="005F7283"/>
    <w:rsid w:val="005F757F"/>
    <w:rsid w:val="005F7B87"/>
    <w:rsid w:val="005F7DFC"/>
    <w:rsid w:val="005F7F4F"/>
    <w:rsid w:val="00600043"/>
    <w:rsid w:val="00600274"/>
    <w:rsid w:val="006004BB"/>
    <w:rsid w:val="006004BE"/>
    <w:rsid w:val="0060068E"/>
    <w:rsid w:val="006006B5"/>
    <w:rsid w:val="00600747"/>
    <w:rsid w:val="006007E8"/>
    <w:rsid w:val="00600AB8"/>
    <w:rsid w:val="006018BD"/>
    <w:rsid w:val="00601E9D"/>
    <w:rsid w:val="00602300"/>
    <w:rsid w:val="00602654"/>
    <w:rsid w:val="00602898"/>
    <w:rsid w:val="006029CF"/>
    <w:rsid w:val="00602A0B"/>
    <w:rsid w:val="00602C3E"/>
    <w:rsid w:val="00602D3B"/>
    <w:rsid w:val="0060325F"/>
    <w:rsid w:val="006037A9"/>
    <w:rsid w:val="00603D7D"/>
    <w:rsid w:val="0060400A"/>
    <w:rsid w:val="00604097"/>
    <w:rsid w:val="00604150"/>
    <w:rsid w:val="00604152"/>
    <w:rsid w:val="006042A6"/>
    <w:rsid w:val="006046F3"/>
    <w:rsid w:val="00604C82"/>
    <w:rsid w:val="00604CA4"/>
    <w:rsid w:val="00604CF2"/>
    <w:rsid w:val="00604DF8"/>
    <w:rsid w:val="0060519D"/>
    <w:rsid w:val="00605815"/>
    <w:rsid w:val="00605875"/>
    <w:rsid w:val="00605880"/>
    <w:rsid w:val="00605B40"/>
    <w:rsid w:val="00605C93"/>
    <w:rsid w:val="00605EDE"/>
    <w:rsid w:val="0060647A"/>
    <w:rsid w:val="0060655C"/>
    <w:rsid w:val="0060671D"/>
    <w:rsid w:val="00606B62"/>
    <w:rsid w:val="00606D3A"/>
    <w:rsid w:val="00606DB0"/>
    <w:rsid w:val="00606F5E"/>
    <w:rsid w:val="006070DD"/>
    <w:rsid w:val="006072EB"/>
    <w:rsid w:val="006100E2"/>
    <w:rsid w:val="0061024F"/>
    <w:rsid w:val="00611070"/>
    <w:rsid w:val="00611508"/>
    <w:rsid w:val="00611A4D"/>
    <w:rsid w:val="00611B5E"/>
    <w:rsid w:val="00611B9D"/>
    <w:rsid w:val="00612018"/>
    <w:rsid w:val="0061294F"/>
    <w:rsid w:val="00612FBB"/>
    <w:rsid w:val="006135BC"/>
    <w:rsid w:val="0061382B"/>
    <w:rsid w:val="00613B3B"/>
    <w:rsid w:val="00613E01"/>
    <w:rsid w:val="006142F0"/>
    <w:rsid w:val="00614829"/>
    <w:rsid w:val="00614F2D"/>
    <w:rsid w:val="00614F3D"/>
    <w:rsid w:val="00615587"/>
    <w:rsid w:val="006155AF"/>
    <w:rsid w:val="0061574E"/>
    <w:rsid w:val="00615BAF"/>
    <w:rsid w:val="00615D17"/>
    <w:rsid w:val="006165EE"/>
    <w:rsid w:val="00616981"/>
    <w:rsid w:val="00616A45"/>
    <w:rsid w:val="0061701C"/>
    <w:rsid w:val="0061758B"/>
    <w:rsid w:val="00617889"/>
    <w:rsid w:val="00617E09"/>
    <w:rsid w:val="00620066"/>
    <w:rsid w:val="0062085C"/>
    <w:rsid w:val="00620A19"/>
    <w:rsid w:val="00620D6E"/>
    <w:rsid w:val="00620DC2"/>
    <w:rsid w:val="006212A7"/>
    <w:rsid w:val="0062132E"/>
    <w:rsid w:val="00621533"/>
    <w:rsid w:val="0062178B"/>
    <w:rsid w:val="00621A26"/>
    <w:rsid w:val="00621C17"/>
    <w:rsid w:val="00621E66"/>
    <w:rsid w:val="00621F71"/>
    <w:rsid w:val="00621F94"/>
    <w:rsid w:val="00621FE4"/>
    <w:rsid w:val="00622058"/>
    <w:rsid w:val="0062208F"/>
    <w:rsid w:val="0062299B"/>
    <w:rsid w:val="006229D8"/>
    <w:rsid w:val="00622C62"/>
    <w:rsid w:val="00622F4A"/>
    <w:rsid w:val="00623C2E"/>
    <w:rsid w:val="00624250"/>
    <w:rsid w:val="00624B46"/>
    <w:rsid w:val="00624D0C"/>
    <w:rsid w:val="0062561E"/>
    <w:rsid w:val="00625997"/>
    <w:rsid w:val="00625A74"/>
    <w:rsid w:val="00625C84"/>
    <w:rsid w:val="00625DD2"/>
    <w:rsid w:val="00626AD9"/>
    <w:rsid w:val="006271F0"/>
    <w:rsid w:val="0062757C"/>
    <w:rsid w:val="00627690"/>
    <w:rsid w:val="00627C93"/>
    <w:rsid w:val="006309D2"/>
    <w:rsid w:val="00630BDB"/>
    <w:rsid w:val="00630EE6"/>
    <w:rsid w:val="00631396"/>
    <w:rsid w:val="006313BD"/>
    <w:rsid w:val="00631CAB"/>
    <w:rsid w:val="00631D68"/>
    <w:rsid w:val="00632477"/>
    <w:rsid w:val="00632478"/>
    <w:rsid w:val="00632D88"/>
    <w:rsid w:val="00632E55"/>
    <w:rsid w:val="006337E6"/>
    <w:rsid w:val="006339B3"/>
    <w:rsid w:val="00634542"/>
    <w:rsid w:val="0063491D"/>
    <w:rsid w:val="00634973"/>
    <w:rsid w:val="00634A9C"/>
    <w:rsid w:val="0063534F"/>
    <w:rsid w:val="00635778"/>
    <w:rsid w:val="0063580D"/>
    <w:rsid w:val="00635882"/>
    <w:rsid w:val="00635CC4"/>
    <w:rsid w:val="00635FFE"/>
    <w:rsid w:val="0063622C"/>
    <w:rsid w:val="006366B7"/>
    <w:rsid w:val="00636804"/>
    <w:rsid w:val="006376FB"/>
    <w:rsid w:val="006377E5"/>
    <w:rsid w:val="00637CD6"/>
    <w:rsid w:val="00637F82"/>
    <w:rsid w:val="00640308"/>
    <w:rsid w:val="006403EC"/>
    <w:rsid w:val="0064085B"/>
    <w:rsid w:val="006409FD"/>
    <w:rsid w:val="00640A21"/>
    <w:rsid w:val="006411B7"/>
    <w:rsid w:val="006411D7"/>
    <w:rsid w:val="00641259"/>
    <w:rsid w:val="0064150C"/>
    <w:rsid w:val="006415C4"/>
    <w:rsid w:val="00641795"/>
    <w:rsid w:val="00641969"/>
    <w:rsid w:val="006419BB"/>
    <w:rsid w:val="00641A65"/>
    <w:rsid w:val="00641DFE"/>
    <w:rsid w:val="00642126"/>
    <w:rsid w:val="00642285"/>
    <w:rsid w:val="006426A0"/>
    <w:rsid w:val="00642AF4"/>
    <w:rsid w:val="00642F16"/>
    <w:rsid w:val="00642F2D"/>
    <w:rsid w:val="006431A4"/>
    <w:rsid w:val="00643636"/>
    <w:rsid w:val="006438C0"/>
    <w:rsid w:val="00643FDF"/>
    <w:rsid w:val="00644234"/>
    <w:rsid w:val="006442DC"/>
    <w:rsid w:val="006443C8"/>
    <w:rsid w:val="006445BB"/>
    <w:rsid w:val="00644D4F"/>
    <w:rsid w:val="0064534C"/>
    <w:rsid w:val="00645651"/>
    <w:rsid w:val="006457A5"/>
    <w:rsid w:val="0064610F"/>
    <w:rsid w:val="0064631B"/>
    <w:rsid w:val="006465F1"/>
    <w:rsid w:val="00646984"/>
    <w:rsid w:val="0064719C"/>
    <w:rsid w:val="0064740A"/>
    <w:rsid w:val="0064765B"/>
    <w:rsid w:val="0064786E"/>
    <w:rsid w:val="00647C4A"/>
    <w:rsid w:val="00647F9A"/>
    <w:rsid w:val="00647FD2"/>
    <w:rsid w:val="006505CF"/>
    <w:rsid w:val="0065090C"/>
    <w:rsid w:val="00651242"/>
    <w:rsid w:val="00651370"/>
    <w:rsid w:val="00651641"/>
    <w:rsid w:val="00651ED6"/>
    <w:rsid w:val="00651FDB"/>
    <w:rsid w:val="0065256B"/>
    <w:rsid w:val="00652EBE"/>
    <w:rsid w:val="006535F0"/>
    <w:rsid w:val="00653600"/>
    <w:rsid w:val="00653CBD"/>
    <w:rsid w:val="0065407A"/>
    <w:rsid w:val="006544DD"/>
    <w:rsid w:val="006545F7"/>
    <w:rsid w:val="00654687"/>
    <w:rsid w:val="006549B2"/>
    <w:rsid w:val="00654D04"/>
    <w:rsid w:val="00654EA7"/>
    <w:rsid w:val="00654FFE"/>
    <w:rsid w:val="0065512B"/>
    <w:rsid w:val="0065535D"/>
    <w:rsid w:val="00655413"/>
    <w:rsid w:val="00655602"/>
    <w:rsid w:val="00655B80"/>
    <w:rsid w:val="00656263"/>
    <w:rsid w:val="006562F0"/>
    <w:rsid w:val="0065635A"/>
    <w:rsid w:val="00656451"/>
    <w:rsid w:val="006566D8"/>
    <w:rsid w:val="00656C1F"/>
    <w:rsid w:val="006572EB"/>
    <w:rsid w:val="006574A2"/>
    <w:rsid w:val="00657591"/>
    <w:rsid w:val="00657ABC"/>
    <w:rsid w:val="00660336"/>
    <w:rsid w:val="00660CCE"/>
    <w:rsid w:val="00660D02"/>
    <w:rsid w:val="00660D2F"/>
    <w:rsid w:val="00660D80"/>
    <w:rsid w:val="00660E4B"/>
    <w:rsid w:val="006611EC"/>
    <w:rsid w:val="0066183E"/>
    <w:rsid w:val="00661970"/>
    <w:rsid w:val="00661A2A"/>
    <w:rsid w:val="00661B24"/>
    <w:rsid w:val="0066268D"/>
    <w:rsid w:val="00662850"/>
    <w:rsid w:val="006631EE"/>
    <w:rsid w:val="00663B4F"/>
    <w:rsid w:val="00663CEF"/>
    <w:rsid w:val="00664482"/>
    <w:rsid w:val="006647AE"/>
    <w:rsid w:val="006648A0"/>
    <w:rsid w:val="00665677"/>
    <w:rsid w:val="006656A1"/>
    <w:rsid w:val="0066570E"/>
    <w:rsid w:val="00666062"/>
    <w:rsid w:val="00666102"/>
    <w:rsid w:val="00666117"/>
    <w:rsid w:val="00666187"/>
    <w:rsid w:val="006662A9"/>
    <w:rsid w:val="00666510"/>
    <w:rsid w:val="00666795"/>
    <w:rsid w:val="006669EF"/>
    <w:rsid w:val="00666B27"/>
    <w:rsid w:val="00666F29"/>
    <w:rsid w:val="006671DB"/>
    <w:rsid w:val="0066751C"/>
    <w:rsid w:val="006675DE"/>
    <w:rsid w:val="00667720"/>
    <w:rsid w:val="00667AFE"/>
    <w:rsid w:val="00667B33"/>
    <w:rsid w:val="00667B48"/>
    <w:rsid w:val="00667C59"/>
    <w:rsid w:val="006707AA"/>
    <w:rsid w:val="00670C0C"/>
    <w:rsid w:val="00670D1C"/>
    <w:rsid w:val="00670EA1"/>
    <w:rsid w:val="006710BF"/>
    <w:rsid w:val="00671227"/>
    <w:rsid w:val="0067161B"/>
    <w:rsid w:val="006716C5"/>
    <w:rsid w:val="00671927"/>
    <w:rsid w:val="00671C3B"/>
    <w:rsid w:val="00672391"/>
    <w:rsid w:val="0067243E"/>
    <w:rsid w:val="006724A8"/>
    <w:rsid w:val="006725F5"/>
    <w:rsid w:val="00672823"/>
    <w:rsid w:val="00672D70"/>
    <w:rsid w:val="00673307"/>
    <w:rsid w:val="0067360C"/>
    <w:rsid w:val="00673866"/>
    <w:rsid w:val="006739FC"/>
    <w:rsid w:val="00673C2C"/>
    <w:rsid w:val="00673C92"/>
    <w:rsid w:val="00674833"/>
    <w:rsid w:val="006748FA"/>
    <w:rsid w:val="006749A6"/>
    <w:rsid w:val="006755E6"/>
    <w:rsid w:val="006759D1"/>
    <w:rsid w:val="006766C5"/>
    <w:rsid w:val="0067695E"/>
    <w:rsid w:val="00676DCA"/>
    <w:rsid w:val="00677517"/>
    <w:rsid w:val="00677566"/>
    <w:rsid w:val="00677ED8"/>
    <w:rsid w:val="00677F1C"/>
    <w:rsid w:val="00680243"/>
    <w:rsid w:val="006809D5"/>
    <w:rsid w:val="00681183"/>
    <w:rsid w:val="00681887"/>
    <w:rsid w:val="00681C6C"/>
    <w:rsid w:val="00681DC8"/>
    <w:rsid w:val="00682227"/>
    <w:rsid w:val="0068295E"/>
    <w:rsid w:val="00682B26"/>
    <w:rsid w:val="00682B48"/>
    <w:rsid w:val="00682BDA"/>
    <w:rsid w:val="006836DF"/>
    <w:rsid w:val="00683796"/>
    <w:rsid w:val="0068394E"/>
    <w:rsid w:val="00683D64"/>
    <w:rsid w:val="00683F04"/>
    <w:rsid w:val="006840C2"/>
    <w:rsid w:val="0068459A"/>
    <w:rsid w:val="0068463C"/>
    <w:rsid w:val="0068469B"/>
    <w:rsid w:val="00684918"/>
    <w:rsid w:val="00684A72"/>
    <w:rsid w:val="00684B1D"/>
    <w:rsid w:val="00684BE6"/>
    <w:rsid w:val="00684E9F"/>
    <w:rsid w:val="006850D5"/>
    <w:rsid w:val="0068565B"/>
    <w:rsid w:val="00685983"/>
    <w:rsid w:val="00685D27"/>
    <w:rsid w:val="006863E0"/>
    <w:rsid w:val="0068647E"/>
    <w:rsid w:val="00686B90"/>
    <w:rsid w:val="00686D3F"/>
    <w:rsid w:val="0068705D"/>
    <w:rsid w:val="006872F2"/>
    <w:rsid w:val="00687443"/>
    <w:rsid w:val="006907D5"/>
    <w:rsid w:val="00690885"/>
    <w:rsid w:val="00690CCD"/>
    <w:rsid w:val="00690DE1"/>
    <w:rsid w:val="00691DDD"/>
    <w:rsid w:val="006920F8"/>
    <w:rsid w:val="0069259D"/>
    <w:rsid w:val="006925C3"/>
    <w:rsid w:val="00692687"/>
    <w:rsid w:val="00692A01"/>
    <w:rsid w:val="00692D79"/>
    <w:rsid w:val="00693360"/>
    <w:rsid w:val="006937CA"/>
    <w:rsid w:val="00693BA6"/>
    <w:rsid w:val="00693E80"/>
    <w:rsid w:val="0069401F"/>
    <w:rsid w:val="00694282"/>
    <w:rsid w:val="0069488D"/>
    <w:rsid w:val="00694A6F"/>
    <w:rsid w:val="00694ABD"/>
    <w:rsid w:val="00694F30"/>
    <w:rsid w:val="00695371"/>
    <w:rsid w:val="00695451"/>
    <w:rsid w:val="006956D5"/>
    <w:rsid w:val="0069580D"/>
    <w:rsid w:val="00695A42"/>
    <w:rsid w:val="00695A63"/>
    <w:rsid w:val="00695A9A"/>
    <w:rsid w:val="00695B81"/>
    <w:rsid w:val="00695BCD"/>
    <w:rsid w:val="00695CC9"/>
    <w:rsid w:val="00695DFA"/>
    <w:rsid w:val="00695E2B"/>
    <w:rsid w:val="00695E65"/>
    <w:rsid w:val="00695F4A"/>
    <w:rsid w:val="0069625A"/>
    <w:rsid w:val="00696853"/>
    <w:rsid w:val="0069760B"/>
    <w:rsid w:val="00697758"/>
    <w:rsid w:val="00697C51"/>
    <w:rsid w:val="00697DB2"/>
    <w:rsid w:val="006A0004"/>
    <w:rsid w:val="006A0A62"/>
    <w:rsid w:val="006A0AF9"/>
    <w:rsid w:val="006A0DFD"/>
    <w:rsid w:val="006A11E8"/>
    <w:rsid w:val="006A120A"/>
    <w:rsid w:val="006A1249"/>
    <w:rsid w:val="006A1344"/>
    <w:rsid w:val="006A14EC"/>
    <w:rsid w:val="006A170D"/>
    <w:rsid w:val="006A18DE"/>
    <w:rsid w:val="006A19FE"/>
    <w:rsid w:val="006A1B1F"/>
    <w:rsid w:val="006A1D75"/>
    <w:rsid w:val="006A1DD1"/>
    <w:rsid w:val="006A1E3D"/>
    <w:rsid w:val="006A1ECE"/>
    <w:rsid w:val="006A1F98"/>
    <w:rsid w:val="006A22A0"/>
    <w:rsid w:val="006A2B60"/>
    <w:rsid w:val="006A304D"/>
    <w:rsid w:val="006A3070"/>
    <w:rsid w:val="006A3224"/>
    <w:rsid w:val="006A32EF"/>
    <w:rsid w:val="006A335A"/>
    <w:rsid w:val="006A3AA6"/>
    <w:rsid w:val="006A3BFE"/>
    <w:rsid w:val="006A3EAA"/>
    <w:rsid w:val="006A404E"/>
    <w:rsid w:val="006A4689"/>
    <w:rsid w:val="006A4DC5"/>
    <w:rsid w:val="006A4FEA"/>
    <w:rsid w:val="006A54EC"/>
    <w:rsid w:val="006A5591"/>
    <w:rsid w:val="006A56DF"/>
    <w:rsid w:val="006A5CF6"/>
    <w:rsid w:val="006A6028"/>
    <w:rsid w:val="006A62CD"/>
    <w:rsid w:val="006A6900"/>
    <w:rsid w:val="006A695E"/>
    <w:rsid w:val="006A6AD4"/>
    <w:rsid w:val="006A6D97"/>
    <w:rsid w:val="006A6FEE"/>
    <w:rsid w:val="006A7082"/>
    <w:rsid w:val="006A7159"/>
    <w:rsid w:val="006A72F0"/>
    <w:rsid w:val="006A752D"/>
    <w:rsid w:val="006A7787"/>
    <w:rsid w:val="006A79C0"/>
    <w:rsid w:val="006A7A43"/>
    <w:rsid w:val="006A7C87"/>
    <w:rsid w:val="006A7EC7"/>
    <w:rsid w:val="006A7F2D"/>
    <w:rsid w:val="006B0856"/>
    <w:rsid w:val="006B0B17"/>
    <w:rsid w:val="006B0BFB"/>
    <w:rsid w:val="006B1C87"/>
    <w:rsid w:val="006B2020"/>
    <w:rsid w:val="006B2345"/>
    <w:rsid w:val="006B270F"/>
    <w:rsid w:val="006B2806"/>
    <w:rsid w:val="006B2966"/>
    <w:rsid w:val="006B2E34"/>
    <w:rsid w:val="006B2EBF"/>
    <w:rsid w:val="006B34B5"/>
    <w:rsid w:val="006B3989"/>
    <w:rsid w:val="006B3B46"/>
    <w:rsid w:val="006B408A"/>
    <w:rsid w:val="006B451F"/>
    <w:rsid w:val="006B4A10"/>
    <w:rsid w:val="006B4ABB"/>
    <w:rsid w:val="006B4B54"/>
    <w:rsid w:val="006B4E02"/>
    <w:rsid w:val="006B515E"/>
    <w:rsid w:val="006B52CC"/>
    <w:rsid w:val="006B5410"/>
    <w:rsid w:val="006B568E"/>
    <w:rsid w:val="006B58D8"/>
    <w:rsid w:val="006B5B9C"/>
    <w:rsid w:val="006B5CB5"/>
    <w:rsid w:val="006B5D53"/>
    <w:rsid w:val="006B6195"/>
    <w:rsid w:val="006B68B0"/>
    <w:rsid w:val="006B704F"/>
    <w:rsid w:val="006B70A8"/>
    <w:rsid w:val="006B7498"/>
    <w:rsid w:val="006B7AE2"/>
    <w:rsid w:val="006B7E24"/>
    <w:rsid w:val="006C00DF"/>
    <w:rsid w:val="006C0120"/>
    <w:rsid w:val="006C012D"/>
    <w:rsid w:val="006C06C6"/>
    <w:rsid w:val="006C0D5C"/>
    <w:rsid w:val="006C0D89"/>
    <w:rsid w:val="006C0E6E"/>
    <w:rsid w:val="006C15EA"/>
    <w:rsid w:val="006C1802"/>
    <w:rsid w:val="006C1E4A"/>
    <w:rsid w:val="006C2072"/>
    <w:rsid w:val="006C22F4"/>
    <w:rsid w:val="006C24AD"/>
    <w:rsid w:val="006C26ED"/>
    <w:rsid w:val="006C2B9E"/>
    <w:rsid w:val="006C2E38"/>
    <w:rsid w:val="006C30ED"/>
    <w:rsid w:val="006C343A"/>
    <w:rsid w:val="006C35ED"/>
    <w:rsid w:val="006C3758"/>
    <w:rsid w:val="006C3941"/>
    <w:rsid w:val="006C3BD8"/>
    <w:rsid w:val="006C3CD1"/>
    <w:rsid w:val="006C3E53"/>
    <w:rsid w:val="006C4123"/>
    <w:rsid w:val="006C444E"/>
    <w:rsid w:val="006C47AF"/>
    <w:rsid w:val="006C4987"/>
    <w:rsid w:val="006C4F00"/>
    <w:rsid w:val="006C535D"/>
    <w:rsid w:val="006C54CB"/>
    <w:rsid w:val="006C57B7"/>
    <w:rsid w:val="006C617E"/>
    <w:rsid w:val="006C6813"/>
    <w:rsid w:val="006C6C4F"/>
    <w:rsid w:val="006C7247"/>
    <w:rsid w:val="006C7282"/>
    <w:rsid w:val="006C74AF"/>
    <w:rsid w:val="006C7538"/>
    <w:rsid w:val="006C76F0"/>
    <w:rsid w:val="006C7727"/>
    <w:rsid w:val="006C7776"/>
    <w:rsid w:val="006D0098"/>
    <w:rsid w:val="006D07D3"/>
    <w:rsid w:val="006D0AFC"/>
    <w:rsid w:val="006D0CCC"/>
    <w:rsid w:val="006D0E3B"/>
    <w:rsid w:val="006D0E9D"/>
    <w:rsid w:val="006D0F3F"/>
    <w:rsid w:val="006D106D"/>
    <w:rsid w:val="006D112B"/>
    <w:rsid w:val="006D1327"/>
    <w:rsid w:val="006D1DDC"/>
    <w:rsid w:val="006D2249"/>
    <w:rsid w:val="006D227E"/>
    <w:rsid w:val="006D23B2"/>
    <w:rsid w:val="006D25C7"/>
    <w:rsid w:val="006D2FC8"/>
    <w:rsid w:val="006D3097"/>
    <w:rsid w:val="006D30D1"/>
    <w:rsid w:val="006D30FD"/>
    <w:rsid w:val="006D377F"/>
    <w:rsid w:val="006D37B1"/>
    <w:rsid w:val="006D3971"/>
    <w:rsid w:val="006D4003"/>
    <w:rsid w:val="006D4540"/>
    <w:rsid w:val="006D4B58"/>
    <w:rsid w:val="006D4D3D"/>
    <w:rsid w:val="006D5689"/>
    <w:rsid w:val="006D5883"/>
    <w:rsid w:val="006D58B4"/>
    <w:rsid w:val="006D5C7F"/>
    <w:rsid w:val="006D5D97"/>
    <w:rsid w:val="006D5E1D"/>
    <w:rsid w:val="006D630B"/>
    <w:rsid w:val="006D6AFD"/>
    <w:rsid w:val="006D7389"/>
    <w:rsid w:val="006D79C5"/>
    <w:rsid w:val="006D7AD6"/>
    <w:rsid w:val="006D7AFE"/>
    <w:rsid w:val="006D7F6D"/>
    <w:rsid w:val="006E092A"/>
    <w:rsid w:val="006E0D3B"/>
    <w:rsid w:val="006E0F8A"/>
    <w:rsid w:val="006E0F8F"/>
    <w:rsid w:val="006E148C"/>
    <w:rsid w:val="006E16B0"/>
    <w:rsid w:val="006E16FC"/>
    <w:rsid w:val="006E1C92"/>
    <w:rsid w:val="006E1FBD"/>
    <w:rsid w:val="006E20FD"/>
    <w:rsid w:val="006E21AF"/>
    <w:rsid w:val="006E2559"/>
    <w:rsid w:val="006E263C"/>
    <w:rsid w:val="006E2EC3"/>
    <w:rsid w:val="006E31E1"/>
    <w:rsid w:val="006E3279"/>
    <w:rsid w:val="006E3682"/>
    <w:rsid w:val="006E3A1B"/>
    <w:rsid w:val="006E3A71"/>
    <w:rsid w:val="006E3E56"/>
    <w:rsid w:val="006E4012"/>
    <w:rsid w:val="006E4072"/>
    <w:rsid w:val="006E4456"/>
    <w:rsid w:val="006E4BCA"/>
    <w:rsid w:val="006E4D76"/>
    <w:rsid w:val="006E4F32"/>
    <w:rsid w:val="006E50E3"/>
    <w:rsid w:val="006E5382"/>
    <w:rsid w:val="006E546F"/>
    <w:rsid w:val="006E549A"/>
    <w:rsid w:val="006E550A"/>
    <w:rsid w:val="006E56C6"/>
    <w:rsid w:val="006E5886"/>
    <w:rsid w:val="006E5F1E"/>
    <w:rsid w:val="006E608F"/>
    <w:rsid w:val="006E64FF"/>
    <w:rsid w:val="006E6CDD"/>
    <w:rsid w:val="006E6E66"/>
    <w:rsid w:val="006E71A1"/>
    <w:rsid w:val="006E75D4"/>
    <w:rsid w:val="006E79AC"/>
    <w:rsid w:val="006E79C5"/>
    <w:rsid w:val="006E7E06"/>
    <w:rsid w:val="006F08AC"/>
    <w:rsid w:val="006F091C"/>
    <w:rsid w:val="006F0AEF"/>
    <w:rsid w:val="006F103C"/>
    <w:rsid w:val="006F1060"/>
    <w:rsid w:val="006F10C4"/>
    <w:rsid w:val="006F1AE1"/>
    <w:rsid w:val="006F20FF"/>
    <w:rsid w:val="006F219B"/>
    <w:rsid w:val="006F21E4"/>
    <w:rsid w:val="006F25E9"/>
    <w:rsid w:val="006F265B"/>
    <w:rsid w:val="006F2897"/>
    <w:rsid w:val="006F2A44"/>
    <w:rsid w:val="006F2E59"/>
    <w:rsid w:val="006F2EE0"/>
    <w:rsid w:val="006F3539"/>
    <w:rsid w:val="006F3742"/>
    <w:rsid w:val="006F4759"/>
    <w:rsid w:val="006F4849"/>
    <w:rsid w:val="006F4FE5"/>
    <w:rsid w:val="006F531B"/>
    <w:rsid w:val="006F5469"/>
    <w:rsid w:val="006F571B"/>
    <w:rsid w:val="006F591B"/>
    <w:rsid w:val="006F5961"/>
    <w:rsid w:val="006F5B69"/>
    <w:rsid w:val="006F5D78"/>
    <w:rsid w:val="006F60A3"/>
    <w:rsid w:val="006F6224"/>
    <w:rsid w:val="006F6428"/>
    <w:rsid w:val="006F69B4"/>
    <w:rsid w:val="006F6CA8"/>
    <w:rsid w:val="006F6D98"/>
    <w:rsid w:val="006F6F6D"/>
    <w:rsid w:val="006F717F"/>
    <w:rsid w:val="006F7191"/>
    <w:rsid w:val="006F758A"/>
    <w:rsid w:val="006F7637"/>
    <w:rsid w:val="006F7898"/>
    <w:rsid w:val="00700626"/>
    <w:rsid w:val="007008F4"/>
    <w:rsid w:val="007009FA"/>
    <w:rsid w:val="00700A1B"/>
    <w:rsid w:val="0070158E"/>
    <w:rsid w:val="00701BB5"/>
    <w:rsid w:val="00701D6F"/>
    <w:rsid w:val="00701F8A"/>
    <w:rsid w:val="00702746"/>
    <w:rsid w:val="00702AFD"/>
    <w:rsid w:val="00702B22"/>
    <w:rsid w:val="007035BF"/>
    <w:rsid w:val="00703719"/>
    <w:rsid w:val="00703A8E"/>
    <w:rsid w:val="00703F7E"/>
    <w:rsid w:val="00704047"/>
    <w:rsid w:val="00704179"/>
    <w:rsid w:val="00704210"/>
    <w:rsid w:val="007042C0"/>
    <w:rsid w:val="0070441E"/>
    <w:rsid w:val="007045F5"/>
    <w:rsid w:val="007046A2"/>
    <w:rsid w:val="007047DA"/>
    <w:rsid w:val="0070501E"/>
    <w:rsid w:val="007052D4"/>
    <w:rsid w:val="007055BD"/>
    <w:rsid w:val="007057BC"/>
    <w:rsid w:val="00705907"/>
    <w:rsid w:val="0070598B"/>
    <w:rsid w:val="00705B04"/>
    <w:rsid w:val="00706075"/>
    <w:rsid w:val="00706305"/>
    <w:rsid w:val="0070652F"/>
    <w:rsid w:val="007066DE"/>
    <w:rsid w:val="00706DE6"/>
    <w:rsid w:val="00706F61"/>
    <w:rsid w:val="00707BB2"/>
    <w:rsid w:val="00707E4B"/>
    <w:rsid w:val="007104A0"/>
    <w:rsid w:val="007108A4"/>
    <w:rsid w:val="00710942"/>
    <w:rsid w:val="007112A7"/>
    <w:rsid w:val="007116FE"/>
    <w:rsid w:val="00711854"/>
    <w:rsid w:val="007118A6"/>
    <w:rsid w:val="00711997"/>
    <w:rsid w:val="00711DC6"/>
    <w:rsid w:val="00711E75"/>
    <w:rsid w:val="00712385"/>
    <w:rsid w:val="007126BE"/>
    <w:rsid w:val="00712CA5"/>
    <w:rsid w:val="0071300C"/>
    <w:rsid w:val="0071302C"/>
    <w:rsid w:val="00713274"/>
    <w:rsid w:val="00713C8C"/>
    <w:rsid w:val="00714121"/>
    <w:rsid w:val="0071412C"/>
    <w:rsid w:val="007141A4"/>
    <w:rsid w:val="007149C6"/>
    <w:rsid w:val="00714B99"/>
    <w:rsid w:val="00714EE4"/>
    <w:rsid w:val="0071521A"/>
    <w:rsid w:val="007153BD"/>
    <w:rsid w:val="007154AD"/>
    <w:rsid w:val="00715CF4"/>
    <w:rsid w:val="00715E77"/>
    <w:rsid w:val="0071610B"/>
    <w:rsid w:val="007164B2"/>
    <w:rsid w:val="007166BD"/>
    <w:rsid w:val="0071686A"/>
    <w:rsid w:val="00716D4C"/>
    <w:rsid w:val="00716D98"/>
    <w:rsid w:val="00717242"/>
    <w:rsid w:val="0071744E"/>
    <w:rsid w:val="00717B16"/>
    <w:rsid w:val="00720055"/>
    <w:rsid w:val="0072045E"/>
    <w:rsid w:val="00720552"/>
    <w:rsid w:val="00720726"/>
    <w:rsid w:val="00721026"/>
    <w:rsid w:val="00721311"/>
    <w:rsid w:val="0072146D"/>
    <w:rsid w:val="00721481"/>
    <w:rsid w:val="007216E3"/>
    <w:rsid w:val="00721A24"/>
    <w:rsid w:val="00721D5B"/>
    <w:rsid w:val="00721EF0"/>
    <w:rsid w:val="007220C5"/>
    <w:rsid w:val="007222EE"/>
    <w:rsid w:val="0072263A"/>
    <w:rsid w:val="00722BAB"/>
    <w:rsid w:val="00722E0D"/>
    <w:rsid w:val="007231C8"/>
    <w:rsid w:val="007233D2"/>
    <w:rsid w:val="00723A5D"/>
    <w:rsid w:val="0072407A"/>
    <w:rsid w:val="00724542"/>
    <w:rsid w:val="00725079"/>
    <w:rsid w:val="00725165"/>
    <w:rsid w:val="00725172"/>
    <w:rsid w:val="00725454"/>
    <w:rsid w:val="00725495"/>
    <w:rsid w:val="00725857"/>
    <w:rsid w:val="00725D5F"/>
    <w:rsid w:val="00726459"/>
    <w:rsid w:val="0072656F"/>
    <w:rsid w:val="00726F88"/>
    <w:rsid w:val="007275B5"/>
    <w:rsid w:val="00727751"/>
    <w:rsid w:val="00727E96"/>
    <w:rsid w:val="00727FFC"/>
    <w:rsid w:val="0073064F"/>
    <w:rsid w:val="00730882"/>
    <w:rsid w:val="00730A0D"/>
    <w:rsid w:val="00730B20"/>
    <w:rsid w:val="00730CFA"/>
    <w:rsid w:val="00730D5D"/>
    <w:rsid w:val="007311DD"/>
    <w:rsid w:val="00731206"/>
    <w:rsid w:val="0073149C"/>
    <w:rsid w:val="00731567"/>
    <w:rsid w:val="00731623"/>
    <w:rsid w:val="0073196A"/>
    <w:rsid w:val="00731A63"/>
    <w:rsid w:val="00731D47"/>
    <w:rsid w:val="00732816"/>
    <w:rsid w:val="0073311F"/>
    <w:rsid w:val="007331AB"/>
    <w:rsid w:val="00733CAA"/>
    <w:rsid w:val="00734072"/>
    <w:rsid w:val="00734201"/>
    <w:rsid w:val="00734B00"/>
    <w:rsid w:val="00734D96"/>
    <w:rsid w:val="00734F2D"/>
    <w:rsid w:val="00735155"/>
    <w:rsid w:val="007355F7"/>
    <w:rsid w:val="007359E8"/>
    <w:rsid w:val="00735DF6"/>
    <w:rsid w:val="00736194"/>
    <w:rsid w:val="007362BB"/>
    <w:rsid w:val="0073634E"/>
    <w:rsid w:val="00736600"/>
    <w:rsid w:val="007366E0"/>
    <w:rsid w:val="00736A2E"/>
    <w:rsid w:val="00736DC6"/>
    <w:rsid w:val="00736E8E"/>
    <w:rsid w:val="007370F1"/>
    <w:rsid w:val="007371D0"/>
    <w:rsid w:val="0073757F"/>
    <w:rsid w:val="007377C5"/>
    <w:rsid w:val="0073793B"/>
    <w:rsid w:val="00737DCE"/>
    <w:rsid w:val="00740225"/>
    <w:rsid w:val="00740672"/>
    <w:rsid w:val="00740948"/>
    <w:rsid w:val="007409C6"/>
    <w:rsid w:val="00740BEB"/>
    <w:rsid w:val="00741029"/>
    <w:rsid w:val="007412FC"/>
    <w:rsid w:val="00741A17"/>
    <w:rsid w:val="00741A8B"/>
    <w:rsid w:val="00741AEA"/>
    <w:rsid w:val="00741B3B"/>
    <w:rsid w:val="00741D58"/>
    <w:rsid w:val="007420B7"/>
    <w:rsid w:val="00742213"/>
    <w:rsid w:val="0074256A"/>
    <w:rsid w:val="00742C12"/>
    <w:rsid w:val="007435DA"/>
    <w:rsid w:val="00743682"/>
    <w:rsid w:val="0074384A"/>
    <w:rsid w:val="00743ADF"/>
    <w:rsid w:val="00743B9D"/>
    <w:rsid w:val="00743CE2"/>
    <w:rsid w:val="00743D30"/>
    <w:rsid w:val="00743D75"/>
    <w:rsid w:val="00743DFD"/>
    <w:rsid w:val="00743E12"/>
    <w:rsid w:val="00745017"/>
    <w:rsid w:val="00745531"/>
    <w:rsid w:val="00745534"/>
    <w:rsid w:val="007455D4"/>
    <w:rsid w:val="007456D1"/>
    <w:rsid w:val="00745880"/>
    <w:rsid w:val="00745E45"/>
    <w:rsid w:val="0074605E"/>
    <w:rsid w:val="00746593"/>
    <w:rsid w:val="00746886"/>
    <w:rsid w:val="0074692E"/>
    <w:rsid w:val="00746FC1"/>
    <w:rsid w:val="0074715E"/>
    <w:rsid w:val="007471FE"/>
    <w:rsid w:val="007474AD"/>
    <w:rsid w:val="00747872"/>
    <w:rsid w:val="00747B9B"/>
    <w:rsid w:val="00747E9C"/>
    <w:rsid w:val="00747FA5"/>
    <w:rsid w:val="00750087"/>
    <w:rsid w:val="00750187"/>
    <w:rsid w:val="007502BA"/>
    <w:rsid w:val="007505AE"/>
    <w:rsid w:val="007508B7"/>
    <w:rsid w:val="00750989"/>
    <w:rsid w:val="00750A9F"/>
    <w:rsid w:val="00750D80"/>
    <w:rsid w:val="00750FF6"/>
    <w:rsid w:val="007512C8"/>
    <w:rsid w:val="007513E1"/>
    <w:rsid w:val="00751609"/>
    <w:rsid w:val="007519E6"/>
    <w:rsid w:val="007519FE"/>
    <w:rsid w:val="00751ACC"/>
    <w:rsid w:val="00752545"/>
    <w:rsid w:val="00752919"/>
    <w:rsid w:val="00752B7A"/>
    <w:rsid w:val="00752F3E"/>
    <w:rsid w:val="00752FCC"/>
    <w:rsid w:val="00753222"/>
    <w:rsid w:val="00753422"/>
    <w:rsid w:val="00753A02"/>
    <w:rsid w:val="0075425E"/>
    <w:rsid w:val="0075428B"/>
    <w:rsid w:val="0075468E"/>
    <w:rsid w:val="00754A2B"/>
    <w:rsid w:val="00754ADF"/>
    <w:rsid w:val="00754BB2"/>
    <w:rsid w:val="00754F97"/>
    <w:rsid w:val="007551E4"/>
    <w:rsid w:val="007556A5"/>
    <w:rsid w:val="0075597F"/>
    <w:rsid w:val="00755C01"/>
    <w:rsid w:val="007568CB"/>
    <w:rsid w:val="0075690A"/>
    <w:rsid w:val="007569A3"/>
    <w:rsid w:val="007569F6"/>
    <w:rsid w:val="00756B33"/>
    <w:rsid w:val="00756F11"/>
    <w:rsid w:val="00756FD9"/>
    <w:rsid w:val="007578B4"/>
    <w:rsid w:val="0075794E"/>
    <w:rsid w:val="007579A9"/>
    <w:rsid w:val="00760195"/>
    <w:rsid w:val="00760792"/>
    <w:rsid w:val="00760A57"/>
    <w:rsid w:val="00760B55"/>
    <w:rsid w:val="00760BAC"/>
    <w:rsid w:val="00760C46"/>
    <w:rsid w:val="00760ED7"/>
    <w:rsid w:val="007616A6"/>
    <w:rsid w:val="007616F3"/>
    <w:rsid w:val="00761CF0"/>
    <w:rsid w:val="00761EDE"/>
    <w:rsid w:val="007620F7"/>
    <w:rsid w:val="007627A6"/>
    <w:rsid w:val="00763323"/>
    <w:rsid w:val="007634FB"/>
    <w:rsid w:val="00763867"/>
    <w:rsid w:val="007638A9"/>
    <w:rsid w:val="00763A0D"/>
    <w:rsid w:val="00763B8E"/>
    <w:rsid w:val="00764045"/>
    <w:rsid w:val="0076423B"/>
    <w:rsid w:val="007646C3"/>
    <w:rsid w:val="007646EC"/>
    <w:rsid w:val="00764BB7"/>
    <w:rsid w:val="00764EEE"/>
    <w:rsid w:val="00765125"/>
    <w:rsid w:val="007657D1"/>
    <w:rsid w:val="00765AD5"/>
    <w:rsid w:val="00765E94"/>
    <w:rsid w:val="00765F05"/>
    <w:rsid w:val="00765F63"/>
    <w:rsid w:val="00766088"/>
    <w:rsid w:val="00766129"/>
    <w:rsid w:val="00766745"/>
    <w:rsid w:val="00766C45"/>
    <w:rsid w:val="00766CA1"/>
    <w:rsid w:val="00766E16"/>
    <w:rsid w:val="00767334"/>
    <w:rsid w:val="007678C2"/>
    <w:rsid w:val="00767A67"/>
    <w:rsid w:val="00767EDA"/>
    <w:rsid w:val="00770819"/>
    <w:rsid w:val="00770A92"/>
    <w:rsid w:val="00770AAB"/>
    <w:rsid w:val="00770C5F"/>
    <w:rsid w:val="007714B8"/>
    <w:rsid w:val="007715CC"/>
    <w:rsid w:val="0077213F"/>
    <w:rsid w:val="00772354"/>
    <w:rsid w:val="0077236B"/>
    <w:rsid w:val="00772523"/>
    <w:rsid w:val="00772927"/>
    <w:rsid w:val="00772AF1"/>
    <w:rsid w:val="00773184"/>
    <w:rsid w:val="00773317"/>
    <w:rsid w:val="007733B2"/>
    <w:rsid w:val="007734E4"/>
    <w:rsid w:val="007735E7"/>
    <w:rsid w:val="00773C8C"/>
    <w:rsid w:val="00773FD5"/>
    <w:rsid w:val="00774289"/>
    <w:rsid w:val="007743FC"/>
    <w:rsid w:val="00774400"/>
    <w:rsid w:val="00774795"/>
    <w:rsid w:val="007749B9"/>
    <w:rsid w:val="00774C1E"/>
    <w:rsid w:val="00774CA6"/>
    <w:rsid w:val="007751D8"/>
    <w:rsid w:val="00775231"/>
    <w:rsid w:val="0077619F"/>
    <w:rsid w:val="007764C8"/>
    <w:rsid w:val="0077662F"/>
    <w:rsid w:val="007768A3"/>
    <w:rsid w:val="0077692E"/>
    <w:rsid w:val="00776A57"/>
    <w:rsid w:val="00776CCE"/>
    <w:rsid w:val="0077707F"/>
    <w:rsid w:val="0077717F"/>
    <w:rsid w:val="0077725C"/>
    <w:rsid w:val="0077793B"/>
    <w:rsid w:val="00777945"/>
    <w:rsid w:val="00777C7B"/>
    <w:rsid w:val="0078017A"/>
    <w:rsid w:val="00780290"/>
    <w:rsid w:val="00780417"/>
    <w:rsid w:val="0078042C"/>
    <w:rsid w:val="007807F3"/>
    <w:rsid w:val="007809CD"/>
    <w:rsid w:val="00780E0F"/>
    <w:rsid w:val="00781086"/>
    <w:rsid w:val="007819E2"/>
    <w:rsid w:val="00781C05"/>
    <w:rsid w:val="00781C35"/>
    <w:rsid w:val="00782161"/>
    <w:rsid w:val="007821DE"/>
    <w:rsid w:val="0078223E"/>
    <w:rsid w:val="0078242A"/>
    <w:rsid w:val="00782448"/>
    <w:rsid w:val="007826CD"/>
    <w:rsid w:val="00782B27"/>
    <w:rsid w:val="00782BC0"/>
    <w:rsid w:val="00782C2E"/>
    <w:rsid w:val="00783500"/>
    <w:rsid w:val="0078360A"/>
    <w:rsid w:val="00783A2A"/>
    <w:rsid w:val="00783B71"/>
    <w:rsid w:val="00783F54"/>
    <w:rsid w:val="0078403E"/>
    <w:rsid w:val="0078455D"/>
    <w:rsid w:val="00784606"/>
    <w:rsid w:val="00784640"/>
    <w:rsid w:val="0078482C"/>
    <w:rsid w:val="00784DCF"/>
    <w:rsid w:val="00784EEE"/>
    <w:rsid w:val="0078558B"/>
    <w:rsid w:val="00785F91"/>
    <w:rsid w:val="0078639F"/>
    <w:rsid w:val="0078646F"/>
    <w:rsid w:val="00786779"/>
    <w:rsid w:val="00786C85"/>
    <w:rsid w:val="00786FF6"/>
    <w:rsid w:val="00787225"/>
    <w:rsid w:val="007873E2"/>
    <w:rsid w:val="007874D0"/>
    <w:rsid w:val="00787608"/>
    <w:rsid w:val="007876FC"/>
    <w:rsid w:val="00787E4B"/>
    <w:rsid w:val="00790407"/>
    <w:rsid w:val="007905A4"/>
    <w:rsid w:val="00790B56"/>
    <w:rsid w:val="00790EEB"/>
    <w:rsid w:val="00791231"/>
    <w:rsid w:val="007917D8"/>
    <w:rsid w:val="00791B6C"/>
    <w:rsid w:val="00792314"/>
    <w:rsid w:val="007925E4"/>
    <w:rsid w:val="00792BB2"/>
    <w:rsid w:val="00792BED"/>
    <w:rsid w:val="00792EC7"/>
    <w:rsid w:val="00794505"/>
    <w:rsid w:val="0079454C"/>
    <w:rsid w:val="007945DC"/>
    <w:rsid w:val="007947CC"/>
    <w:rsid w:val="00794946"/>
    <w:rsid w:val="00794D00"/>
    <w:rsid w:val="00794EEB"/>
    <w:rsid w:val="00795AB4"/>
    <w:rsid w:val="00795CFB"/>
    <w:rsid w:val="00796806"/>
    <w:rsid w:val="00796A61"/>
    <w:rsid w:val="00796B7E"/>
    <w:rsid w:val="00796C50"/>
    <w:rsid w:val="00796D99"/>
    <w:rsid w:val="00796FAD"/>
    <w:rsid w:val="00796FDD"/>
    <w:rsid w:val="007979EB"/>
    <w:rsid w:val="00797B0F"/>
    <w:rsid w:val="007A082E"/>
    <w:rsid w:val="007A111D"/>
    <w:rsid w:val="007A1743"/>
    <w:rsid w:val="007A1D2D"/>
    <w:rsid w:val="007A20A1"/>
    <w:rsid w:val="007A2208"/>
    <w:rsid w:val="007A2CE6"/>
    <w:rsid w:val="007A2E35"/>
    <w:rsid w:val="007A2F29"/>
    <w:rsid w:val="007A3862"/>
    <w:rsid w:val="007A420F"/>
    <w:rsid w:val="007A433D"/>
    <w:rsid w:val="007A4D34"/>
    <w:rsid w:val="007A5342"/>
    <w:rsid w:val="007A58C3"/>
    <w:rsid w:val="007A5C91"/>
    <w:rsid w:val="007A5CCE"/>
    <w:rsid w:val="007A6271"/>
    <w:rsid w:val="007A63D0"/>
    <w:rsid w:val="007A6D6E"/>
    <w:rsid w:val="007A7739"/>
    <w:rsid w:val="007A7BCF"/>
    <w:rsid w:val="007A7D5C"/>
    <w:rsid w:val="007B015C"/>
    <w:rsid w:val="007B0951"/>
    <w:rsid w:val="007B0ACB"/>
    <w:rsid w:val="007B0CD7"/>
    <w:rsid w:val="007B0D2E"/>
    <w:rsid w:val="007B0F75"/>
    <w:rsid w:val="007B1575"/>
    <w:rsid w:val="007B196E"/>
    <w:rsid w:val="007B2943"/>
    <w:rsid w:val="007B2B06"/>
    <w:rsid w:val="007B2CD6"/>
    <w:rsid w:val="007B300F"/>
    <w:rsid w:val="007B30D3"/>
    <w:rsid w:val="007B3130"/>
    <w:rsid w:val="007B3199"/>
    <w:rsid w:val="007B391B"/>
    <w:rsid w:val="007B392F"/>
    <w:rsid w:val="007B3C7F"/>
    <w:rsid w:val="007B3F3F"/>
    <w:rsid w:val="007B41E0"/>
    <w:rsid w:val="007B43DB"/>
    <w:rsid w:val="007B46C5"/>
    <w:rsid w:val="007B4A2C"/>
    <w:rsid w:val="007B4A52"/>
    <w:rsid w:val="007B4B2F"/>
    <w:rsid w:val="007B4D37"/>
    <w:rsid w:val="007B4DF1"/>
    <w:rsid w:val="007B554A"/>
    <w:rsid w:val="007B5DAD"/>
    <w:rsid w:val="007B5E83"/>
    <w:rsid w:val="007B5EA6"/>
    <w:rsid w:val="007B62A6"/>
    <w:rsid w:val="007B63DD"/>
    <w:rsid w:val="007B693C"/>
    <w:rsid w:val="007B6FDE"/>
    <w:rsid w:val="007B7163"/>
    <w:rsid w:val="007B7756"/>
    <w:rsid w:val="007B7890"/>
    <w:rsid w:val="007B7892"/>
    <w:rsid w:val="007B7C06"/>
    <w:rsid w:val="007C0252"/>
    <w:rsid w:val="007C068B"/>
    <w:rsid w:val="007C0944"/>
    <w:rsid w:val="007C0BAB"/>
    <w:rsid w:val="007C0C13"/>
    <w:rsid w:val="007C0C38"/>
    <w:rsid w:val="007C172C"/>
    <w:rsid w:val="007C19E3"/>
    <w:rsid w:val="007C1B3D"/>
    <w:rsid w:val="007C267F"/>
    <w:rsid w:val="007C3996"/>
    <w:rsid w:val="007C3A0A"/>
    <w:rsid w:val="007C3D32"/>
    <w:rsid w:val="007C3DC2"/>
    <w:rsid w:val="007C41E9"/>
    <w:rsid w:val="007C464E"/>
    <w:rsid w:val="007C465E"/>
    <w:rsid w:val="007C479F"/>
    <w:rsid w:val="007C48F7"/>
    <w:rsid w:val="007C4C52"/>
    <w:rsid w:val="007C4C9A"/>
    <w:rsid w:val="007C4CB9"/>
    <w:rsid w:val="007C4F70"/>
    <w:rsid w:val="007C54C2"/>
    <w:rsid w:val="007C5AD3"/>
    <w:rsid w:val="007C5FCE"/>
    <w:rsid w:val="007C615B"/>
    <w:rsid w:val="007C6164"/>
    <w:rsid w:val="007C6581"/>
    <w:rsid w:val="007C6683"/>
    <w:rsid w:val="007C6739"/>
    <w:rsid w:val="007C67AA"/>
    <w:rsid w:val="007C6D29"/>
    <w:rsid w:val="007C6F6B"/>
    <w:rsid w:val="007C7151"/>
    <w:rsid w:val="007C7530"/>
    <w:rsid w:val="007C75AF"/>
    <w:rsid w:val="007C7C1F"/>
    <w:rsid w:val="007C7E20"/>
    <w:rsid w:val="007C7FE1"/>
    <w:rsid w:val="007D00E0"/>
    <w:rsid w:val="007D09B1"/>
    <w:rsid w:val="007D0DD8"/>
    <w:rsid w:val="007D0E9D"/>
    <w:rsid w:val="007D0F8E"/>
    <w:rsid w:val="007D1011"/>
    <w:rsid w:val="007D103D"/>
    <w:rsid w:val="007D150E"/>
    <w:rsid w:val="007D17FC"/>
    <w:rsid w:val="007D20C6"/>
    <w:rsid w:val="007D214B"/>
    <w:rsid w:val="007D22F7"/>
    <w:rsid w:val="007D26FE"/>
    <w:rsid w:val="007D27C9"/>
    <w:rsid w:val="007D289C"/>
    <w:rsid w:val="007D28DF"/>
    <w:rsid w:val="007D2965"/>
    <w:rsid w:val="007D30DF"/>
    <w:rsid w:val="007D310C"/>
    <w:rsid w:val="007D329D"/>
    <w:rsid w:val="007D35DE"/>
    <w:rsid w:val="007D4558"/>
    <w:rsid w:val="007D47E5"/>
    <w:rsid w:val="007D4B8F"/>
    <w:rsid w:val="007D4BC7"/>
    <w:rsid w:val="007D4D4C"/>
    <w:rsid w:val="007D500B"/>
    <w:rsid w:val="007D5018"/>
    <w:rsid w:val="007D52FE"/>
    <w:rsid w:val="007D544B"/>
    <w:rsid w:val="007D54C0"/>
    <w:rsid w:val="007D5D42"/>
    <w:rsid w:val="007D66C4"/>
    <w:rsid w:val="007D67EE"/>
    <w:rsid w:val="007D71CE"/>
    <w:rsid w:val="007D7216"/>
    <w:rsid w:val="007D74F7"/>
    <w:rsid w:val="007D7765"/>
    <w:rsid w:val="007D7923"/>
    <w:rsid w:val="007D7A08"/>
    <w:rsid w:val="007D7AE0"/>
    <w:rsid w:val="007D7C25"/>
    <w:rsid w:val="007D7CCB"/>
    <w:rsid w:val="007D7D99"/>
    <w:rsid w:val="007D7EA1"/>
    <w:rsid w:val="007E0265"/>
    <w:rsid w:val="007E038C"/>
    <w:rsid w:val="007E0586"/>
    <w:rsid w:val="007E062A"/>
    <w:rsid w:val="007E07B0"/>
    <w:rsid w:val="007E0953"/>
    <w:rsid w:val="007E0CA6"/>
    <w:rsid w:val="007E0CD1"/>
    <w:rsid w:val="007E0DA3"/>
    <w:rsid w:val="007E13D2"/>
    <w:rsid w:val="007E1C06"/>
    <w:rsid w:val="007E1D80"/>
    <w:rsid w:val="007E25B0"/>
    <w:rsid w:val="007E2A41"/>
    <w:rsid w:val="007E2EB1"/>
    <w:rsid w:val="007E2F1B"/>
    <w:rsid w:val="007E315D"/>
    <w:rsid w:val="007E3250"/>
    <w:rsid w:val="007E387F"/>
    <w:rsid w:val="007E38CC"/>
    <w:rsid w:val="007E40A0"/>
    <w:rsid w:val="007E421E"/>
    <w:rsid w:val="007E4411"/>
    <w:rsid w:val="007E44D6"/>
    <w:rsid w:val="007E4882"/>
    <w:rsid w:val="007E4CA0"/>
    <w:rsid w:val="007E4D50"/>
    <w:rsid w:val="007E4E01"/>
    <w:rsid w:val="007E52DE"/>
    <w:rsid w:val="007E58B6"/>
    <w:rsid w:val="007E5E48"/>
    <w:rsid w:val="007E5EFF"/>
    <w:rsid w:val="007E5FAC"/>
    <w:rsid w:val="007E5FDB"/>
    <w:rsid w:val="007E621D"/>
    <w:rsid w:val="007E6717"/>
    <w:rsid w:val="007E6AC2"/>
    <w:rsid w:val="007E6B8B"/>
    <w:rsid w:val="007E6D25"/>
    <w:rsid w:val="007E6F46"/>
    <w:rsid w:val="007E7626"/>
    <w:rsid w:val="007E7832"/>
    <w:rsid w:val="007E7A3E"/>
    <w:rsid w:val="007E7A6E"/>
    <w:rsid w:val="007E7ACB"/>
    <w:rsid w:val="007E7F25"/>
    <w:rsid w:val="007F0471"/>
    <w:rsid w:val="007F04D1"/>
    <w:rsid w:val="007F05F5"/>
    <w:rsid w:val="007F060B"/>
    <w:rsid w:val="007F0FC1"/>
    <w:rsid w:val="007F1BEE"/>
    <w:rsid w:val="007F215D"/>
    <w:rsid w:val="007F2176"/>
    <w:rsid w:val="007F219E"/>
    <w:rsid w:val="007F21EF"/>
    <w:rsid w:val="007F2309"/>
    <w:rsid w:val="007F2361"/>
    <w:rsid w:val="007F2558"/>
    <w:rsid w:val="007F28A3"/>
    <w:rsid w:val="007F2A20"/>
    <w:rsid w:val="007F2D58"/>
    <w:rsid w:val="007F2E40"/>
    <w:rsid w:val="007F2E41"/>
    <w:rsid w:val="007F2F10"/>
    <w:rsid w:val="007F360F"/>
    <w:rsid w:val="007F394B"/>
    <w:rsid w:val="007F3B28"/>
    <w:rsid w:val="007F3BBD"/>
    <w:rsid w:val="007F3C59"/>
    <w:rsid w:val="007F3E58"/>
    <w:rsid w:val="007F3F60"/>
    <w:rsid w:val="007F416B"/>
    <w:rsid w:val="007F4A1B"/>
    <w:rsid w:val="007F4B1E"/>
    <w:rsid w:val="007F4C2B"/>
    <w:rsid w:val="007F4C3D"/>
    <w:rsid w:val="007F4D6A"/>
    <w:rsid w:val="007F5399"/>
    <w:rsid w:val="007F5469"/>
    <w:rsid w:val="007F55D6"/>
    <w:rsid w:val="007F5B87"/>
    <w:rsid w:val="007F635C"/>
    <w:rsid w:val="007F6363"/>
    <w:rsid w:val="007F649B"/>
    <w:rsid w:val="007F6A6A"/>
    <w:rsid w:val="007F6B62"/>
    <w:rsid w:val="007F768B"/>
    <w:rsid w:val="007F79D6"/>
    <w:rsid w:val="007F79F6"/>
    <w:rsid w:val="007F7DB0"/>
    <w:rsid w:val="007F7F93"/>
    <w:rsid w:val="00800042"/>
    <w:rsid w:val="0080032E"/>
    <w:rsid w:val="008009DF"/>
    <w:rsid w:val="00800D0C"/>
    <w:rsid w:val="00800FF6"/>
    <w:rsid w:val="008010E9"/>
    <w:rsid w:val="0080122D"/>
    <w:rsid w:val="00801264"/>
    <w:rsid w:val="00801347"/>
    <w:rsid w:val="008014DA"/>
    <w:rsid w:val="0080157A"/>
    <w:rsid w:val="00801763"/>
    <w:rsid w:val="00801C4D"/>
    <w:rsid w:val="00801CB9"/>
    <w:rsid w:val="00801DDD"/>
    <w:rsid w:val="00801F21"/>
    <w:rsid w:val="008023DF"/>
    <w:rsid w:val="0080289E"/>
    <w:rsid w:val="00802911"/>
    <w:rsid w:val="008029E4"/>
    <w:rsid w:val="00803054"/>
    <w:rsid w:val="008030D4"/>
    <w:rsid w:val="0080360E"/>
    <w:rsid w:val="008037D7"/>
    <w:rsid w:val="0080396B"/>
    <w:rsid w:val="00803AAE"/>
    <w:rsid w:val="00803DD7"/>
    <w:rsid w:val="008057E9"/>
    <w:rsid w:val="00805C55"/>
    <w:rsid w:val="00805EBD"/>
    <w:rsid w:val="0080604C"/>
    <w:rsid w:val="00806483"/>
    <w:rsid w:val="00806883"/>
    <w:rsid w:val="00806995"/>
    <w:rsid w:val="00806A55"/>
    <w:rsid w:val="00807E81"/>
    <w:rsid w:val="008101EF"/>
    <w:rsid w:val="008103AD"/>
    <w:rsid w:val="00810594"/>
    <w:rsid w:val="0081063C"/>
    <w:rsid w:val="008106A0"/>
    <w:rsid w:val="00810B38"/>
    <w:rsid w:val="00810B91"/>
    <w:rsid w:val="0081124D"/>
    <w:rsid w:val="008117C6"/>
    <w:rsid w:val="00811956"/>
    <w:rsid w:val="0081199C"/>
    <w:rsid w:val="00811ACB"/>
    <w:rsid w:val="008125C3"/>
    <w:rsid w:val="0081328D"/>
    <w:rsid w:val="00813561"/>
    <w:rsid w:val="00813619"/>
    <w:rsid w:val="00813837"/>
    <w:rsid w:val="008138BB"/>
    <w:rsid w:val="008139D6"/>
    <w:rsid w:val="008139DA"/>
    <w:rsid w:val="00813AFC"/>
    <w:rsid w:val="00813C80"/>
    <w:rsid w:val="008140B1"/>
    <w:rsid w:val="008145FE"/>
    <w:rsid w:val="00814A53"/>
    <w:rsid w:val="00814CEA"/>
    <w:rsid w:val="00815328"/>
    <w:rsid w:val="00815447"/>
    <w:rsid w:val="008158B6"/>
    <w:rsid w:val="00815AEF"/>
    <w:rsid w:val="0081666F"/>
    <w:rsid w:val="00816B72"/>
    <w:rsid w:val="00816B99"/>
    <w:rsid w:val="00816EB4"/>
    <w:rsid w:val="00817339"/>
    <w:rsid w:val="0081733F"/>
    <w:rsid w:val="008176E5"/>
    <w:rsid w:val="00817A5C"/>
    <w:rsid w:val="00817D59"/>
    <w:rsid w:val="008202AB"/>
    <w:rsid w:val="00821A26"/>
    <w:rsid w:val="00822B50"/>
    <w:rsid w:val="00822BDE"/>
    <w:rsid w:val="00822E9E"/>
    <w:rsid w:val="00823347"/>
    <w:rsid w:val="008235AA"/>
    <w:rsid w:val="00823C04"/>
    <w:rsid w:val="00823FB3"/>
    <w:rsid w:val="00824106"/>
    <w:rsid w:val="00824262"/>
    <w:rsid w:val="00824343"/>
    <w:rsid w:val="008247DE"/>
    <w:rsid w:val="008249B8"/>
    <w:rsid w:val="008249DB"/>
    <w:rsid w:val="00824C04"/>
    <w:rsid w:val="00824D1C"/>
    <w:rsid w:val="00825079"/>
    <w:rsid w:val="0082533C"/>
    <w:rsid w:val="008256ED"/>
    <w:rsid w:val="0082579E"/>
    <w:rsid w:val="00825B37"/>
    <w:rsid w:val="0082656A"/>
    <w:rsid w:val="00826BFA"/>
    <w:rsid w:val="00826E06"/>
    <w:rsid w:val="00826E08"/>
    <w:rsid w:val="008270BC"/>
    <w:rsid w:val="0082720C"/>
    <w:rsid w:val="00827725"/>
    <w:rsid w:val="00827A45"/>
    <w:rsid w:val="00827CA6"/>
    <w:rsid w:val="00827DB0"/>
    <w:rsid w:val="008302D5"/>
    <w:rsid w:val="00830912"/>
    <w:rsid w:val="00830A0F"/>
    <w:rsid w:val="00830F74"/>
    <w:rsid w:val="008313DF"/>
    <w:rsid w:val="00831603"/>
    <w:rsid w:val="00831A13"/>
    <w:rsid w:val="00831BA5"/>
    <w:rsid w:val="00831F69"/>
    <w:rsid w:val="008320A1"/>
    <w:rsid w:val="00832B32"/>
    <w:rsid w:val="00833168"/>
    <w:rsid w:val="008332C7"/>
    <w:rsid w:val="008333EF"/>
    <w:rsid w:val="0083355E"/>
    <w:rsid w:val="008337F0"/>
    <w:rsid w:val="00833880"/>
    <w:rsid w:val="00833C7B"/>
    <w:rsid w:val="0083407C"/>
    <w:rsid w:val="008342FE"/>
    <w:rsid w:val="00834B6D"/>
    <w:rsid w:val="00834F62"/>
    <w:rsid w:val="00835059"/>
    <w:rsid w:val="00835220"/>
    <w:rsid w:val="00835A04"/>
    <w:rsid w:val="00835A10"/>
    <w:rsid w:val="00835D2D"/>
    <w:rsid w:val="00836AA8"/>
    <w:rsid w:val="00836BBB"/>
    <w:rsid w:val="00836BE8"/>
    <w:rsid w:val="00836C6B"/>
    <w:rsid w:val="00836E08"/>
    <w:rsid w:val="008371CB"/>
    <w:rsid w:val="00837A6C"/>
    <w:rsid w:val="00837B87"/>
    <w:rsid w:val="00837FE9"/>
    <w:rsid w:val="00840411"/>
    <w:rsid w:val="008408B0"/>
    <w:rsid w:val="00841312"/>
    <w:rsid w:val="008413C0"/>
    <w:rsid w:val="008414DE"/>
    <w:rsid w:val="00841556"/>
    <w:rsid w:val="008416DE"/>
    <w:rsid w:val="008416F6"/>
    <w:rsid w:val="00841754"/>
    <w:rsid w:val="00841C6F"/>
    <w:rsid w:val="00841E3D"/>
    <w:rsid w:val="00841FC9"/>
    <w:rsid w:val="0084235C"/>
    <w:rsid w:val="00842945"/>
    <w:rsid w:val="00842D4F"/>
    <w:rsid w:val="00842F65"/>
    <w:rsid w:val="00843C5E"/>
    <w:rsid w:val="00843CD2"/>
    <w:rsid w:val="00843DF8"/>
    <w:rsid w:val="00844317"/>
    <w:rsid w:val="00844534"/>
    <w:rsid w:val="00845219"/>
    <w:rsid w:val="008454B3"/>
    <w:rsid w:val="0084556D"/>
    <w:rsid w:val="0084576F"/>
    <w:rsid w:val="00845819"/>
    <w:rsid w:val="00845938"/>
    <w:rsid w:val="00845BD4"/>
    <w:rsid w:val="00845D16"/>
    <w:rsid w:val="00845D40"/>
    <w:rsid w:val="008462F7"/>
    <w:rsid w:val="008463DD"/>
    <w:rsid w:val="008464BC"/>
    <w:rsid w:val="008464FB"/>
    <w:rsid w:val="008465FD"/>
    <w:rsid w:val="0084679C"/>
    <w:rsid w:val="0084699D"/>
    <w:rsid w:val="00846CBE"/>
    <w:rsid w:val="00846F57"/>
    <w:rsid w:val="00846F65"/>
    <w:rsid w:val="00846F8B"/>
    <w:rsid w:val="0084740D"/>
    <w:rsid w:val="00847449"/>
    <w:rsid w:val="008474F9"/>
    <w:rsid w:val="00847BC6"/>
    <w:rsid w:val="00847C34"/>
    <w:rsid w:val="00847C75"/>
    <w:rsid w:val="00847E22"/>
    <w:rsid w:val="00850556"/>
    <w:rsid w:val="008505A0"/>
    <w:rsid w:val="00850675"/>
    <w:rsid w:val="00850756"/>
    <w:rsid w:val="00850AEC"/>
    <w:rsid w:val="008511DA"/>
    <w:rsid w:val="00851583"/>
    <w:rsid w:val="00851621"/>
    <w:rsid w:val="008516AF"/>
    <w:rsid w:val="008517DA"/>
    <w:rsid w:val="008518C6"/>
    <w:rsid w:val="00851E31"/>
    <w:rsid w:val="00851F5A"/>
    <w:rsid w:val="00852010"/>
    <w:rsid w:val="008523BA"/>
    <w:rsid w:val="008525EC"/>
    <w:rsid w:val="0085328C"/>
    <w:rsid w:val="00853370"/>
    <w:rsid w:val="0085364F"/>
    <w:rsid w:val="0085385F"/>
    <w:rsid w:val="00853F4F"/>
    <w:rsid w:val="0085400C"/>
    <w:rsid w:val="008542A2"/>
    <w:rsid w:val="0085467A"/>
    <w:rsid w:val="0085471B"/>
    <w:rsid w:val="00854A1A"/>
    <w:rsid w:val="00854CF7"/>
    <w:rsid w:val="00854D25"/>
    <w:rsid w:val="00855486"/>
    <w:rsid w:val="00855726"/>
    <w:rsid w:val="00855840"/>
    <w:rsid w:val="00855CFC"/>
    <w:rsid w:val="008566BD"/>
    <w:rsid w:val="008567E1"/>
    <w:rsid w:val="00856934"/>
    <w:rsid w:val="00856986"/>
    <w:rsid w:val="00856B3C"/>
    <w:rsid w:val="00856C15"/>
    <w:rsid w:val="00857249"/>
    <w:rsid w:val="008573A9"/>
    <w:rsid w:val="0085775C"/>
    <w:rsid w:val="00857A33"/>
    <w:rsid w:val="00857C06"/>
    <w:rsid w:val="00860166"/>
    <w:rsid w:val="00860332"/>
    <w:rsid w:val="008608F6"/>
    <w:rsid w:val="00860F13"/>
    <w:rsid w:val="00861033"/>
    <w:rsid w:val="008612B5"/>
    <w:rsid w:val="00861595"/>
    <w:rsid w:val="00861CF8"/>
    <w:rsid w:val="00861F6F"/>
    <w:rsid w:val="00862019"/>
    <w:rsid w:val="0086204B"/>
    <w:rsid w:val="008623B8"/>
    <w:rsid w:val="0086297D"/>
    <w:rsid w:val="00862D95"/>
    <w:rsid w:val="00862F2C"/>
    <w:rsid w:val="00863995"/>
    <w:rsid w:val="00863AB4"/>
    <w:rsid w:val="00864024"/>
    <w:rsid w:val="0086411E"/>
    <w:rsid w:val="00864522"/>
    <w:rsid w:val="008645FB"/>
    <w:rsid w:val="0086466A"/>
    <w:rsid w:val="00864738"/>
    <w:rsid w:val="00864820"/>
    <w:rsid w:val="00864880"/>
    <w:rsid w:val="00864991"/>
    <w:rsid w:val="00864C77"/>
    <w:rsid w:val="0086519A"/>
    <w:rsid w:val="0086522C"/>
    <w:rsid w:val="0086525B"/>
    <w:rsid w:val="0086532E"/>
    <w:rsid w:val="008656F0"/>
    <w:rsid w:val="00865B14"/>
    <w:rsid w:val="00866037"/>
    <w:rsid w:val="00866199"/>
    <w:rsid w:val="008661DF"/>
    <w:rsid w:val="00866256"/>
    <w:rsid w:val="008665D3"/>
    <w:rsid w:val="00866A39"/>
    <w:rsid w:val="00866A8D"/>
    <w:rsid w:val="00866C7B"/>
    <w:rsid w:val="00866D1F"/>
    <w:rsid w:val="00866D69"/>
    <w:rsid w:val="00866ECD"/>
    <w:rsid w:val="00867878"/>
    <w:rsid w:val="00870085"/>
    <w:rsid w:val="0087063E"/>
    <w:rsid w:val="0087073C"/>
    <w:rsid w:val="008708BE"/>
    <w:rsid w:val="00870924"/>
    <w:rsid w:val="00870AD5"/>
    <w:rsid w:val="00870BF1"/>
    <w:rsid w:val="00870F52"/>
    <w:rsid w:val="00870FAA"/>
    <w:rsid w:val="00871280"/>
    <w:rsid w:val="00871356"/>
    <w:rsid w:val="0087171D"/>
    <w:rsid w:val="008718DE"/>
    <w:rsid w:val="008720F6"/>
    <w:rsid w:val="00872133"/>
    <w:rsid w:val="00873626"/>
    <w:rsid w:val="0087370D"/>
    <w:rsid w:val="008741A2"/>
    <w:rsid w:val="00874329"/>
    <w:rsid w:val="008745AF"/>
    <w:rsid w:val="008746BD"/>
    <w:rsid w:val="00874771"/>
    <w:rsid w:val="0087484F"/>
    <w:rsid w:val="008748B6"/>
    <w:rsid w:val="00874984"/>
    <w:rsid w:val="00874D93"/>
    <w:rsid w:val="00874E6C"/>
    <w:rsid w:val="00874E81"/>
    <w:rsid w:val="00874F99"/>
    <w:rsid w:val="00875010"/>
    <w:rsid w:val="008751C5"/>
    <w:rsid w:val="008751E5"/>
    <w:rsid w:val="00875862"/>
    <w:rsid w:val="008759A2"/>
    <w:rsid w:val="00875A24"/>
    <w:rsid w:val="00875C1F"/>
    <w:rsid w:val="00876BDA"/>
    <w:rsid w:val="00876DE6"/>
    <w:rsid w:val="00876EFB"/>
    <w:rsid w:val="00876F6A"/>
    <w:rsid w:val="008774C2"/>
    <w:rsid w:val="008776FE"/>
    <w:rsid w:val="00877873"/>
    <w:rsid w:val="008778E5"/>
    <w:rsid w:val="00877BD4"/>
    <w:rsid w:val="00877D1C"/>
    <w:rsid w:val="00877F0C"/>
    <w:rsid w:val="00880640"/>
    <w:rsid w:val="00880676"/>
    <w:rsid w:val="008808D6"/>
    <w:rsid w:val="008809EA"/>
    <w:rsid w:val="00880B79"/>
    <w:rsid w:val="00880E60"/>
    <w:rsid w:val="008810A2"/>
    <w:rsid w:val="0088120C"/>
    <w:rsid w:val="008814F0"/>
    <w:rsid w:val="008816D3"/>
    <w:rsid w:val="00881B0D"/>
    <w:rsid w:val="00881F6A"/>
    <w:rsid w:val="00882893"/>
    <w:rsid w:val="00882BAA"/>
    <w:rsid w:val="00882CA8"/>
    <w:rsid w:val="00882FEB"/>
    <w:rsid w:val="008831F1"/>
    <w:rsid w:val="00883230"/>
    <w:rsid w:val="00883352"/>
    <w:rsid w:val="0088339F"/>
    <w:rsid w:val="00883466"/>
    <w:rsid w:val="008834BD"/>
    <w:rsid w:val="00883739"/>
    <w:rsid w:val="00883BA9"/>
    <w:rsid w:val="00883C19"/>
    <w:rsid w:val="00883DB7"/>
    <w:rsid w:val="00883EEF"/>
    <w:rsid w:val="008840C2"/>
    <w:rsid w:val="00884305"/>
    <w:rsid w:val="008843EE"/>
    <w:rsid w:val="00884847"/>
    <w:rsid w:val="00884B1C"/>
    <w:rsid w:val="00884B92"/>
    <w:rsid w:val="00884DD5"/>
    <w:rsid w:val="00884DD7"/>
    <w:rsid w:val="00884EB8"/>
    <w:rsid w:val="00884FA1"/>
    <w:rsid w:val="0088511C"/>
    <w:rsid w:val="008851BD"/>
    <w:rsid w:val="008854A9"/>
    <w:rsid w:val="008857AE"/>
    <w:rsid w:val="00885AAB"/>
    <w:rsid w:val="00885D9D"/>
    <w:rsid w:val="008864DA"/>
    <w:rsid w:val="00886612"/>
    <w:rsid w:val="0088664A"/>
    <w:rsid w:val="0088665F"/>
    <w:rsid w:val="008866A4"/>
    <w:rsid w:val="00886C49"/>
    <w:rsid w:val="00886DC5"/>
    <w:rsid w:val="00887002"/>
    <w:rsid w:val="0088768F"/>
    <w:rsid w:val="008876E9"/>
    <w:rsid w:val="0088782B"/>
    <w:rsid w:val="00887BD9"/>
    <w:rsid w:val="00887BDD"/>
    <w:rsid w:val="008915C7"/>
    <w:rsid w:val="0089205D"/>
    <w:rsid w:val="00892246"/>
    <w:rsid w:val="008926A9"/>
    <w:rsid w:val="00892C95"/>
    <w:rsid w:val="00892C9A"/>
    <w:rsid w:val="00892E21"/>
    <w:rsid w:val="00892E2D"/>
    <w:rsid w:val="00893004"/>
    <w:rsid w:val="00893346"/>
    <w:rsid w:val="00893451"/>
    <w:rsid w:val="008938C2"/>
    <w:rsid w:val="00893FC8"/>
    <w:rsid w:val="00894299"/>
    <w:rsid w:val="008944C9"/>
    <w:rsid w:val="0089474D"/>
    <w:rsid w:val="00894BC7"/>
    <w:rsid w:val="00894E1B"/>
    <w:rsid w:val="00894E5F"/>
    <w:rsid w:val="00895089"/>
    <w:rsid w:val="008953E4"/>
    <w:rsid w:val="008954F6"/>
    <w:rsid w:val="00895F40"/>
    <w:rsid w:val="00896074"/>
    <w:rsid w:val="008969E9"/>
    <w:rsid w:val="00896C5D"/>
    <w:rsid w:val="00896EEF"/>
    <w:rsid w:val="008970BF"/>
    <w:rsid w:val="00897290"/>
    <w:rsid w:val="008973EA"/>
    <w:rsid w:val="00897605"/>
    <w:rsid w:val="008977D0"/>
    <w:rsid w:val="00897F62"/>
    <w:rsid w:val="008A00F9"/>
    <w:rsid w:val="008A01BD"/>
    <w:rsid w:val="008A024B"/>
    <w:rsid w:val="008A0277"/>
    <w:rsid w:val="008A03C8"/>
    <w:rsid w:val="008A056A"/>
    <w:rsid w:val="008A0842"/>
    <w:rsid w:val="008A08CB"/>
    <w:rsid w:val="008A0C0B"/>
    <w:rsid w:val="008A0CEF"/>
    <w:rsid w:val="008A11E0"/>
    <w:rsid w:val="008A13C2"/>
    <w:rsid w:val="008A1818"/>
    <w:rsid w:val="008A1866"/>
    <w:rsid w:val="008A2C6D"/>
    <w:rsid w:val="008A3780"/>
    <w:rsid w:val="008A38FB"/>
    <w:rsid w:val="008A3F9C"/>
    <w:rsid w:val="008A3FBA"/>
    <w:rsid w:val="008A4034"/>
    <w:rsid w:val="008A4215"/>
    <w:rsid w:val="008A458D"/>
    <w:rsid w:val="008A468C"/>
    <w:rsid w:val="008A4901"/>
    <w:rsid w:val="008A4944"/>
    <w:rsid w:val="008A4B1F"/>
    <w:rsid w:val="008A4CB7"/>
    <w:rsid w:val="008A5229"/>
    <w:rsid w:val="008A58B6"/>
    <w:rsid w:val="008A5BCA"/>
    <w:rsid w:val="008A623E"/>
    <w:rsid w:val="008A64DB"/>
    <w:rsid w:val="008A669F"/>
    <w:rsid w:val="008A6757"/>
    <w:rsid w:val="008A75A5"/>
    <w:rsid w:val="008A77F3"/>
    <w:rsid w:val="008A79B4"/>
    <w:rsid w:val="008A7CBE"/>
    <w:rsid w:val="008B0575"/>
    <w:rsid w:val="008B0AA5"/>
    <w:rsid w:val="008B0CDA"/>
    <w:rsid w:val="008B0FAB"/>
    <w:rsid w:val="008B129A"/>
    <w:rsid w:val="008B14A3"/>
    <w:rsid w:val="008B18E1"/>
    <w:rsid w:val="008B1929"/>
    <w:rsid w:val="008B1A6C"/>
    <w:rsid w:val="008B1CBB"/>
    <w:rsid w:val="008B1D45"/>
    <w:rsid w:val="008B1FC1"/>
    <w:rsid w:val="008B2A4B"/>
    <w:rsid w:val="008B3063"/>
    <w:rsid w:val="008B3328"/>
    <w:rsid w:val="008B34B9"/>
    <w:rsid w:val="008B3736"/>
    <w:rsid w:val="008B40CC"/>
    <w:rsid w:val="008B4277"/>
    <w:rsid w:val="008B4734"/>
    <w:rsid w:val="008B4772"/>
    <w:rsid w:val="008B49C9"/>
    <w:rsid w:val="008B4E66"/>
    <w:rsid w:val="008B4ED7"/>
    <w:rsid w:val="008B4F65"/>
    <w:rsid w:val="008B53B6"/>
    <w:rsid w:val="008B5D69"/>
    <w:rsid w:val="008B5E12"/>
    <w:rsid w:val="008B62B2"/>
    <w:rsid w:val="008B6531"/>
    <w:rsid w:val="008B6819"/>
    <w:rsid w:val="008B6EC3"/>
    <w:rsid w:val="008B709F"/>
    <w:rsid w:val="008B70F7"/>
    <w:rsid w:val="008B71C2"/>
    <w:rsid w:val="008B7F83"/>
    <w:rsid w:val="008C0204"/>
    <w:rsid w:val="008C06C8"/>
    <w:rsid w:val="008C0778"/>
    <w:rsid w:val="008C082F"/>
    <w:rsid w:val="008C0F8F"/>
    <w:rsid w:val="008C115B"/>
    <w:rsid w:val="008C1477"/>
    <w:rsid w:val="008C164F"/>
    <w:rsid w:val="008C16AA"/>
    <w:rsid w:val="008C1D7D"/>
    <w:rsid w:val="008C1E52"/>
    <w:rsid w:val="008C20D6"/>
    <w:rsid w:val="008C20E6"/>
    <w:rsid w:val="008C28DF"/>
    <w:rsid w:val="008C2932"/>
    <w:rsid w:val="008C2AEB"/>
    <w:rsid w:val="008C30F5"/>
    <w:rsid w:val="008C3445"/>
    <w:rsid w:val="008C3F25"/>
    <w:rsid w:val="008C3F3E"/>
    <w:rsid w:val="008C3F51"/>
    <w:rsid w:val="008C41B4"/>
    <w:rsid w:val="008C4AC6"/>
    <w:rsid w:val="008C4B82"/>
    <w:rsid w:val="008C4D4E"/>
    <w:rsid w:val="008C500E"/>
    <w:rsid w:val="008C53E5"/>
    <w:rsid w:val="008C54CA"/>
    <w:rsid w:val="008C5800"/>
    <w:rsid w:val="008C5AAA"/>
    <w:rsid w:val="008C5D39"/>
    <w:rsid w:val="008C5D86"/>
    <w:rsid w:val="008C6900"/>
    <w:rsid w:val="008C694B"/>
    <w:rsid w:val="008C6C6A"/>
    <w:rsid w:val="008C6FEE"/>
    <w:rsid w:val="008C7270"/>
    <w:rsid w:val="008C7402"/>
    <w:rsid w:val="008C75C0"/>
    <w:rsid w:val="008C7A2A"/>
    <w:rsid w:val="008C7A30"/>
    <w:rsid w:val="008C7EE1"/>
    <w:rsid w:val="008D012C"/>
    <w:rsid w:val="008D0883"/>
    <w:rsid w:val="008D0A9A"/>
    <w:rsid w:val="008D0B0D"/>
    <w:rsid w:val="008D0B69"/>
    <w:rsid w:val="008D10B8"/>
    <w:rsid w:val="008D12DF"/>
    <w:rsid w:val="008D1775"/>
    <w:rsid w:val="008D1E6E"/>
    <w:rsid w:val="008D2230"/>
    <w:rsid w:val="008D26F1"/>
    <w:rsid w:val="008D3188"/>
    <w:rsid w:val="008D33FA"/>
    <w:rsid w:val="008D3623"/>
    <w:rsid w:val="008D3873"/>
    <w:rsid w:val="008D4038"/>
    <w:rsid w:val="008D426C"/>
    <w:rsid w:val="008D4A22"/>
    <w:rsid w:val="008D4CC9"/>
    <w:rsid w:val="008D4F5A"/>
    <w:rsid w:val="008D4FF1"/>
    <w:rsid w:val="008D5173"/>
    <w:rsid w:val="008D51E9"/>
    <w:rsid w:val="008D5318"/>
    <w:rsid w:val="008D54B7"/>
    <w:rsid w:val="008D54CA"/>
    <w:rsid w:val="008D556A"/>
    <w:rsid w:val="008D55FC"/>
    <w:rsid w:val="008D5CA1"/>
    <w:rsid w:val="008D60ED"/>
    <w:rsid w:val="008D64EC"/>
    <w:rsid w:val="008D66C8"/>
    <w:rsid w:val="008D6A67"/>
    <w:rsid w:val="008D6B92"/>
    <w:rsid w:val="008D6C41"/>
    <w:rsid w:val="008D6E63"/>
    <w:rsid w:val="008D7115"/>
    <w:rsid w:val="008D7201"/>
    <w:rsid w:val="008D75DF"/>
    <w:rsid w:val="008D7969"/>
    <w:rsid w:val="008D7ADD"/>
    <w:rsid w:val="008D7C33"/>
    <w:rsid w:val="008D7CAA"/>
    <w:rsid w:val="008D7F88"/>
    <w:rsid w:val="008E0210"/>
    <w:rsid w:val="008E028E"/>
    <w:rsid w:val="008E04A4"/>
    <w:rsid w:val="008E0584"/>
    <w:rsid w:val="008E13A3"/>
    <w:rsid w:val="008E13D4"/>
    <w:rsid w:val="008E15D0"/>
    <w:rsid w:val="008E161E"/>
    <w:rsid w:val="008E164A"/>
    <w:rsid w:val="008E1B62"/>
    <w:rsid w:val="008E1BC0"/>
    <w:rsid w:val="008E2241"/>
    <w:rsid w:val="008E28B7"/>
    <w:rsid w:val="008E2C98"/>
    <w:rsid w:val="008E2F13"/>
    <w:rsid w:val="008E316E"/>
    <w:rsid w:val="008E3283"/>
    <w:rsid w:val="008E3375"/>
    <w:rsid w:val="008E34D8"/>
    <w:rsid w:val="008E4535"/>
    <w:rsid w:val="008E459E"/>
    <w:rsid w:val="008E4600"/>
    <w:rsid w:val="008E4AB6"/>
    <w:rsid w:val="008E4C24"/>
    <w:rsid w:val="008E4CF0"/>
    <w:rsid w:val="008E58ED"/>
    <w:rsid w:val="008E5A42"/>
    <w:rsid w:val="008E647C"/>
    <w:rsid w:val="008E720B"/>
    <w:rsid w:val="008E7847"/>
    <w:rsid w:val="008E796F"/>
    <w:rsid w:val="008E7D83"/>
    <w:rsid w:val="008F0444"/>
    <w:rsid w:val="008F1346"/>
    <w:rsid w:val="008F2184"/>
    <w:rsid w:val="008F22FC"/>
    <w:rsid w:val="008F2823"/>
    <w:rsid w:val="008F292A"/>
    <w:rsid w:val="008F2CFA"/>
    <w:rsid w:val="008F2D7C"/>
    <w:rsid w:val="008F2E06"/>
    <w:rsid w:val="008F3BD1"/>
    <w:rsid w:val="008F3E1D"/>
    <w:rsid w:val="008F41C5"/>
    <w:rsid w:val="008F45E3"/>
    <w:rsid w:val="008F4786"/>
    <w:rsid w:val="008F4CE7"/>
    <w:rsid w:val="008F4E7F"/>
    <w:rsid w:val="008F515C"/>
    <w:rsid w:val="008F518F"/>
    <w:rsid w:val="008F569D"/>
    <w:rsid w:val="008F59F9"/>
    <w:rsid w:val="008F5A5B"/>
    <w:rsid w:val="008F5A6F"/>
    <w:rsid w:val="008F5FDF"/>
    <w:rsid w:val="008F6025"/>
    <w:rsid w:val="008F69DA"/>
    <w:rsid w:val="008F7201"/>
    <w:rsid w:val="008F7228"/>
    <w:rsid w:val="008F741E"/>
    <w:rsid w:val="008F751E"/>
    <w:rsid w:val="008F77E7"/>
    <w:rsid w:val="008F7930"/>
    <w:rsid w:val="008F7A00"/>
    <w:rsid w:val="008F7EA7"/>
    <w:rsid w:val="008F7FEF"/>
    <w:rsid w:val="009002EA"/>
    <w:rsid w:val="009004E3"/>
    <w:rsid w:val="00900AA2"/>
    <w:rsid w:val="00900D09"/>
    <w:rsid w:val="00900E4F"/>
    <w:rsid w:val="00900FD7"/>
    <w:rsid w:val="00901058"/>
    <w:rsid w:val="009010A9"/>
    <w:rsid w:val="009010C1"/>
    <w:rsid w:val="00901302"/>
    <w:rsid w:val="009017AA"/>
    <w:rsid w:val="00901833"/>
    <w:rsid w:val="0090187C"/>
    <w:rsid w:val="00901988"/>
    <w:rsid w:val="00901AA8"/>
    <w:rsid w:val="00901EE6"/>
    <w:rsid w:val="00902014"/>
    <w:rsid w:val="009025BA"/>
    <w:rsid w:val="00902725"/>
    <w:rsid w:val="009027FF"/>
    <w:rsid w:val="009029DF"/>
    <w:rsid w:val="00902D2E"/>
    <w:rsid w:val="00902F9B"/>
    <w:rsid w:val="0090336B"/>
    <w:rsid w:val="009035C6"/>
    <w:rsid w:val="0090393A"/>
    <w:rsid w:val="00903957"/>
    <w:rsid w:val="009039F2"/>
    <w:rsid w:val="00903AD1"/>
    <w:rsid w:val="00903B28"/>
    <w:rsid w:val="00903D9C"/>
    <w:rsid w:val="00903DFD"/>
    <w:rsid w:val="00903F99"/>
    <w:rsid w:val="00903FE7"/>
    <w:rsid w:val="00904458"/>
    <w:rsid w:val="0090451A"/>
    <w:rsid w:val="009045DD"/>
    <w:rsid w:val="00904688"/>
    <w:rsid w:val="00904A2E"/>
    <w:rsid w:val="00904DFE"/>
    <w:rsid w:val="00904F6B"/>
    <w:rsid w:val="009050A2"/>
    <w:rsid w:val="009053A7"/>
    <w:rsid w:val="009058B4"/>
    <w:rsid w:val="009059FB"/>
    <w:rsid w:val="00905A59"/>
    <w:rsid w:val="00905A83"/>
    <w:rsid w:val="00905FB5"/>
    <w:rsid w:val="00906283"/>
    <w:rsid w:val="009067CD"/>
    <w:rsid w:val="00906E59"/>
    <w:rsid w:val="00906F2E"/>
    <w:rsid w:val="00907043"/>
    <w:rsid w:val="0090739A"/>
    <w:rsid w:val="0090773A"/>
    <w:rsid w:val="00907E78"/>
    <w:rsid w:val="00907EB7"/>
    <w:rsid w:val="00910B08"/>
    <w:rsid w:val="00910BCB"/>
    <w:rsid w:val="0091173E"/>
    <w:rsid w:val="00911B45"/>
    <w:rsid w:val="0091235F"/>
    <w:rsid w:val="00912890"/>
    <w:rsid w:val="00912945"/>
    <w:rsid w:val="00912AE7"/>
    <w:rsid w:val="00912E7E"/>
    <w:rsid w:val="009135AA"/>
    <w:rsid w:val="009136A2"/>
    <w:rsid w:val="00914099"/>
    <w:rsid w:val="0091430B"/>
    <w:rsid w:val="009143A8"/>
    <w:rsid w:val="009143B3"/>
    <w:rsid w:val="009145FC"/>
    <w:rsid w:val="009147F1"/>
    <w:rsid w:val="00914838"/>
    <w:rsid w:val="00914BDF"/>
    <w:rsid w:val="00915399"/>
    <w:rsid w:val="009156FA"/>
    <w:rsid w:val="00915869"/>
    <w:rsid w:val="00915D80"/>
    <w:rsid w:val="00916201"/>
    <w:rsid w:val="00916711"/>
    <w:rsid w:val="00916880"/>
    <w:rsid w:val="00916924"/>
    <w:rsid w:val="009169AC"/>
    <w:rsid w:val="00916A11"/>
    <w:rsid w:val="00917231"/>
    <w:rsid w:val="00917278"/>
    <w:rsid w:val="0091765B"/>
    <w:rsid w:val="009201C9"/>
    <w:rsid w:val="0092088F"/>
    <w:rsid w:val="009213D2"/>
    <w:rsid w:val="00921566"/>
    <w:rsid w:val="009215C2"/>
    <w:rsid w:val="00921D1E"/>
    <w:rsid w:val="00922404"/>
    <w:rsid w:val="0092278F"/>
    <w:rsid w:val="009228CC"/>
    <w:rsid w:val="00922976"/>
    <w:rsid w:val="00922FAC"/>
    <w:rsid w:val="00923401"/>
    <w:rsid w:val="00923B5F"/>
    <w:rsid w:val="00923F7D"/>
    <w:rsid w:val="00924210"/>
    <w:rsid w:val="00924430"/>
    <w:rsid w:val="009244D0"/>
    <w:rsid w:val="00924757"/>
    <w:rsid w:val="00924771"/>
    <w:rsid w:val="00924BB3"/>
    <w:rsid w:val="00924E5E"/>
    <w:rsid w:val="00924E8C"/>
    <w:rsid w:val="009250F8"/>
    <w:rsid w:val="009253E9"/>
    <w:rsid w:val="009256B1"/>
    <w:rsid w:val="00925B18"/>
    <w:rsid w:val="009264B1"/>
    <w:rsid w:val="0092695E"/>
    <w:rsid w:val="00926D5E"/>
    <w:rsid w:val="00926F12"/>
    <w:rsid w:val="00927198"/>
    <w:rsid w:val="0092728C"/>
    <w:rsid w:val="009273A4"/>
    <w:rsid w:val="009273AF"/>
    <w:rsid w:val="00927891"/>
    <w:rsid w:val="00927D13"/>
    <w:rsid w:val="00930A74"/>
    <w:rsid w:val="00930B39"/>
    <w:rsid w:val="00931190"/>
    <w:rsid w:val="0093138D"/>
    <w:rsid w:val="009314C4"/>
    <w:rsid w:val="0093191F"/>
    <w:rsid w:val="00931B5C"/>
    <w:rsid w:val="009321A9"/>
    <w:rsid w:val="009324DF"/>
    <w:rsid w:val="00932778"/>
    <w:rsid w:val="00932B93"/>
    <w:rsid w:val="0093395E"/>
    <w:rsid w:val="00933C4C"/>
    <w:rsid w:val="0093450F"/>
    <w:rsid w:val="00934530"/>
    <w:rsid w:val="0093463A"/>
    <w:rsid w:val="00934885"/>
    <w:rsid w:val="00934A83"/>
    <w:rsid w:val="00934DA3"/>
    <w:rsid w:val="00934FF0"/>
    <w:rsid w:val="00935241"/>
    <w:rsid w:val="00935334"/>
    <w:rsid w:val="00935354"/>
    <w:rsid w:val="009353C2"/>
    <w:rsid w:val="0093554E"/>
    <w:rsid w:val="0093556C"/>
    <w:rsid w:val="00935738"/>
    <w:rsid w:val="00935805"/>
    <w:rsid w:val="00935EA0"/>
    <w:rsid w:val="00935EF7"/>
    <w:rsid w:val="00936345"/>
    <w:rsid w:val="009365E5"/>
    <w:rsid w:val="00936926"/>
    <w:rsid w:val="009369C5"/>
    <w:rsid w:val="00936C6D"/>
    <w:rsid w:val="00936CCA"/>
    <w:rsid w:val="00936E2C"/>
    <w:rsid w:val="00937191"/>
    <w:rsid w:val="00937841"/>
    <w:rsid w:val="00937D49"/>
    <w:rsid w:val="00937DA8"/>
    <w:rsid w:val="00940A6A"/>
    <w:rsid w:val="00941010"/>
    <w:rsid w:val="00941502"/>
    <w:rsid w:val="00941A3A"/>
    <w:rsid w:val="00941A53"/>
    <w:rsid w:val="00941AAC"/>
    <w:rsid w:val="0094200B"/>
    <w:rsid w:val="00942201"/>
    <w:rsid w:val="00942272"/>
    <w:rsid w:val="009423E3"/>
    <w:rsid w:val="009425F3"/>
    <w:rsid w:val="0094295C"/>
    <w:rsid w:val="00942A68"/>
    <w:rsid w:val="00942F12"/>
    <w:rsid w:val="0094316E"/>
    <w:rsid w:val="009436E9"/>
    <w:rsid w:val="00943715"/>
    <w:rsid w:val="0094396D"/>
    <w:rsid w:val="00943BAC"/>
    <w:rsid w:val="00943D29"/>
    <w:rsid w:val="00943EE7"/>
    <w:rsid w:val="00943FAB"/>
    <w:rsid w:val="009442DC"/>
    <w:rsid w:val="0094451B"/>
    <w:rsid w:val="009446D5"/>
    <w:rsid w:val="00944875"/>
    <w:rsid w:val="00944C45"/>
    <w:rsid w:val="00944EE5"/>
    <w:rsid w:val="00945269"/>
    <w:rsid w:val="0094562C"/>
    <w:rsid w:val="009468E2"/>
    <w:rsid w:val="00946D7B"/>
    <w:rsid w:val="00946F98"/>
    <w:rsid w:val="009472F0"/>
    <w:rsid w:val="009476C6"/>
    <w:rsid w:val="00947E45"/>
    <w:rsid w:val="0095012F"/>
    <w:rsid w:val="0095035F"/>
    <w:rsid w:val="0095048F"/>
    <w:rsid w:val="00950571"/>
    <w:rsid w:val="0095061B"/>
    <w:rsid w:val="009507D6"/>
    <w:rsid w:val="00950842"/>
    <w:rsid w:val="00950CB1"/>
    <w:rsid w:val="009514A3"/>
    <w:rsid w:val="0095150C"/>
    <w:rsid w:val="00951886"/>
    <w:rsid w:val="00952340"/>
    <w:rsid w:val="00952C9B"/>
    <w:rsid w:val="00952D1F"/>
    <w:rsid w:val="0095333F"/>
    <w:rsid w:val="00953EB4"/>
    <w:rsid w:val="009540E5"/>
    <w:rsid w:val="009543A9"/>
    <w:rsid w:val="00954848"/>
    <w:rsid w:val="00954906"/>
    <w:rsid w:val="00954EC0"/>
    <w:rsid w:val="00955076"/>
    <w:rsid w:val="009553C4"/>
    <w:rsid w:val="009554C7"/>
    <w:rsid w:val="009555F3"/>
    <w:rsid w:val="009558AD"/>
    <w:rsid w:val="00955BA3"/>
    <w:rsid w:val="00955C45"/>
    <w:rsid w:val="00955DC8"/>
    <w:rsid w:val="00956039"/>
    <w:rsid w:val="009560BF"/>
    <w:rsid w:val="00956B3B"/>
    <w:rsid w:val="00956E0D"/>
    <w:rsid w:val="00956E56"/>
    <w:rsid w:val="00957068"/>
    <w:rsid w:val="00957493"/>
    <w:rsid w:val="009574DF"/>
    <w:rsid w:val="0095774B"/>
    <w:rsid w:val="009577A9"/>
    <w:rsid w:val="00957943"/>
    <w:rsid w:val="00957E34"/>
    <w:rsid w:val="00957F57"/>
    <w:rsid w:val="00957FF7"/>
    <w:rsid w:val="00960522"/>
    <w:rsid w:val="00960C71"/>
    <w:rsid w:val="00960D03"/>
    <w:rsid w:val="00961023"/>
    <w:rsid w:val="00961602"/>
    <w:rsid w:val="00961747"/>
    <w:rsid w:val="009617F0"/>
    <w:rsid w:val="00961A36"/>
    <w:rsid w:val="00961CC5"/>
    <w:rsid w:val="0096213C"/>
    <w:rsid w:val="00962156"/>
    <w:rsid w:val="00962865"/>
    <w:rsid w:val="009628A9"/>
    <w:rsid w:val="00962BBC"/>
    <w:rsid w:val="00962C56"/>
    <w:rsid w:val="00962E86"/>
    <w:rsid w:val="00963874"/>
    <w:rsid w:val="00963DA9"/>
    <w:rsid w:val="0096434F"/>
    <w:rsid w:val="009643E6"/>
    <w:rsid w:val="0096466A"/>
    <w:rsid w:val="0096477C"/>
    <w:rsid w:val="00964B5A"/>
    <w:rsid w:val="00964CCE"/>
    <w:rsid w:val="00965046"/>
    <w:rsid w:val="009651E0"/>
    <w:rsid w:val="009657DC"/>
    <w:rsid w:val="00965EB9"/>
    <w:rsid w:val="00965FC9"/>
    <w:rsid w:val="0096603D"/>
    <w:rsid w:val="009662A0"/>
    <w:rsid w:val="00966A25"/>
    <w:rsid w:val="00966D0F"/>
    <w:rsid w:val="00966DF8"/>
    <w:rsid w:val="00966EA9"/>
    <w:rsid w:val="009674FD"/>
    <w:rsid w:val="00967C75"/>
    <w:rsid w:val="00967DDE"/>
    <w:rsid w:val="00967E58"/>
    <w:rsid w:val="00967ED8"/>
    <w:rsid w:val="00970156"/>
    <w:rsid w:val="0097081A"/>
    <w:rsid w:val="00970930"/>
    <w:rsid w:val="00970BD2"/>
    <w:rsid w:val="00971313"/>
    <w:rsid w:val="0097136C"/>
    <w:rsid w:val="0097140B"/>
    <w:rsid w:val="00971785"/>
    <w:rsid w:val="00971900"/>
    <w:rsid w:val="00971AA7"/>
    <w:rsid w:val="00971B80"/>
    <w:rsid w:val="00971CD4"/>
    <w:rsid w:val="009720C3"/>
    <w:rsid w:val="009724DC"/>
    <w:rsid w:val="00972685"/>
    <w:rsid w:val="009738F2"/>
    <w:rsid w:val="00973B99"/>
    <w:rsid w:val="00973C3C"/>
    <w:rsid w:val="00973EB4"/>
    <w:rsid w:val="00974402"/>
    <w:rsid w:val="00974629"/>
    <w:rsid w:val="009746F9"/>
    <w:rsid w:val="00974CB0"/>
    <w:rsid w:val="00974FA5"/>
    <w:rsid w:val="009753E0"/>
    <w:rsid w:val="0097563C"/>
    <w:rsid w:val="00975B0E"/>
    <w:rsid w:val="00975B79"/>
    <w:rsid w:val="00975C0F"/>
    <w:rsid w:val="009760A2"/>
    <w:rsid w:val="009761A4"/>
    <w:rsid w:val="00976394"/>
    <w:rsid w:val="00976D69"/>
    <w:rsid w:val="00976E4E"/>
    <w:rsid w:val="00976F9C"/>
    <w:rsid w:val="00977031"/>
    <w:rsid w:val="00977429"/>
    <w:rsid w:val="009775D6"/>
    <w:rsid w:val="009776BA"/>
    <w:rsid w:val="00977B9D"/>
    <w:rsid w:val="00977D40"/>
    <w:rsid w:val="00977E69"/>
    <w:rsid w:val="00977E80"/>
    <w:rsid w:val="009800FF"/>
    <w:rsid w:val="009805E9"/>
    <w:rsid w:val="009807CE"/>
    <w:rsid w:val="009808EE"/>
    <w:rsid w:val="00980C6A"/>
    <w:rsid w:val="00980CB0"/>
    <w:rsid w:val="009813AA"/>
    <w:rsid w:val="00982125"/>
    <w:rsid w:val="0098218B"/>
    <w:rsid w:val="009824B4"/>
    <w:rsid w:val="009825FA"/>
    <w:rsid w:val="00982874"/>
    <w:rsid w:val="00982B79"/>
    <w:rsid w:val="00982D28"/>
    <w:rsid w:val="00982D94"/>
    <w:rsid w:val="00982F38"/>
    <w:rsid w:val="009838D6"/>
    <w:rsid w:val="00983A34"/>
    <w:rsid w:val="00983BDB"/>
    <w:rsid w:val="00983D71"/>
    <w:rsid w:val="00983FEA"/>
    <w:rsid w:val="0098483E"/>
    <w:rsid w:val="00984E39"/>
    <w:rsid w:val="0098572F"/>
    <w:rsid w:val="00985952"/>
    <w:rsid w:val="00985B9B"/>
    <w:rsid w:val="00985E24"/>
    <w:rsid w:val="00985E93"/>
    <w:rsid w:val="00985EBA"/>
    <w:rsid w:val="0098606C"/>
    <w:rsid w:val="009860C2"/>
    <w:rsid w:val="009868F5"/>
    <w:rsid w:val="00986BAE"/>
    <w:rsid w:val="00986BF4"/>
    <w:rsid w:val="00986E3F"/>
    <w:rsid w:val="00986ED9"/>
    <w:rsid w:val="009872DA"/>
    <w:rsid w:val="009900B2"/>
    <w:rsid w:val="009906AE"/>
    <w:rsid w:val="00990DEE"/>
    <w:rsid w:val="00991DA7"/>
    <w:rsid w:val="00991E2A"/>
    <w:rsid w:val="00991EDB"/>
    <w:rsid w:val="00991F6C"/>
    <w:rsid w:val="00992131"/>
    <w:rsid w:val="00992618"/>
    <w:rsid w:val="00992620"/>
    <w:rsid w:val="00992770"/>
    <w:rsid w:val="009928DA"/>
    <w:rsid w:val="00992D5A"/>
    <w:rsid w:val="00993268"/>
    <w:rsid w:val="00993345"/>
    <w:rsid w:val="00993841"/>
    <w:rsid w:val="009939A7"/>
    <w:rsid w:val="00993A2E"/>
    <w:rsid w:val="00993FAC"/>
    <w:rsid w:val="00994160"/>
    <w:rsid w:val="00994519"/>
    <w:rsid w:val="009946E8"/>
    <w:rsid w:val="00994C43"/>
    <w:rsid w:val="00994C9D"/>
    <w:rsid w:val="00994DA1"/>
    <w:rsid w:val="00994FDB"/>
    <w:rsid w:val="00995047"/>
    <w:rsid w:val="00995118"/>
    <w:rsid w:val="0099514B"/>
    <w:rsid w:val="0099515F"/>
    <w:rsid w:val="00995196"/>
    <w:rsid w:val="0099525C"/>
    <w:rsid w:val="009952D6"/>
    <w:rsid w:val="00995542"/>
    <w:rsid w:val="00995688"/>
    <w:rsid w:val="009956CD"/>
    <w:rsid w:val="00995D95"/>
    <w:rsid w:val="00996005"/>
    <w:rsid w:val="00996047"/>
    <w:rsid w:val="00996500"/>
    <w:rsid w:val="00996AC8"/>
    <w:rsid w:val="0099702B"/>
    <w:rsid w:val="00997792"/>
    <w:rsid w:val="009A000F"/>
    <w:rsid w:val="009A01DB"/>
    <w:rsid w:val="009A0472"/>
    <w:rsid w:val="009A0852"/>
    <w:rsid w:val="009A0EB4"/>
    <w:rsid w:val="009A1006"/>
    <w:rsid w:val="009A1973"/>
    <w:rsid w:val="009A1A8A"/>
    <w:rsid w:val="009A1C08"/>
    <w:rsid w:val="009A298B"/>
    <w:rsid w:val="009A29B9"/>
    <w:rsid w:val="009A2EA9"/>
    <w:rsid w:val="009A2F51"/>
    <w:rsid w:val="009A30FD"/>
    <w:rsid w:val="009A3279"/>
    <w:rsid w:val="009A3285"/>
    <w:rsid w:val="009A341E"/>
    <w:rsid w:val="009A403E"/>
    <w:rsid w:val="009A41CC"/>
    <w:rsid w:val="009A4256"/>
    <w:rsid w:val="009A45F7"/>
    <w:rsid w:val="009A4A6F"/>
    <w:rsid w:val="009A4DC8"/>
    <w:rsid w:val="009A4E76"/>
    <w:rsid w:val="009A50D7"/>
    <w:rsid w:val="009A53E2"/>
    <w:rsid w:val="009A5465"/>
    <w:rsid w:val="009A5991"/>
    <w:rsid w:val="009A5A74"/>
    <w:rsid w:val="009A5B6C"/>
    <w:rsid w:val="009A5CD0"/>
    <w:rsid w:val="009A5F51"/>
    <w:rsid w:val="009A648B"/>
    <w:rsid w:val="009A65B2"/>
    <w:rsid w:val="009A66D2"/>
    <w:rsid w:val="009A6783"/>
    <w:rsid w:val="009A7034"/>
    <w:rsid w:val="009A71E2"/>
    <w:rsid w:val="009A730A"/>
    <w:rsid w:val="009A74E2"/>
    <w:rsid w:val="009A777A"/>
    <w:rsid w:val="009A7868"/>
    <w:rsid w:val="009A7892"/>
    <w:rsid w:val="009A7F02"/>
    <w:rsid w:val="009B00B3"/>
    <w:rsid w:val="009B0207"/>
    <w:rsid w:val="009B0590"/>
    <w:rsid w:val="009B05EB"/>
    <w:rsid w:val="009B061F"/>
    <w:rsid w:val="009B06E7"/>
    <w:rsid w:val="009B1106"/>
    <w:rsid w:val="009B117E"/>
    <w:rsid w:val="009B1345"/>
    <w:rsid w:val="009B1522"/>
    <w:rsid w:val="009B1666"/>
    <w:rsid w:val="009B16B3"/>
    <w:rsid w:val="009B1750"/>
    <w:rsid w:val="009B1B2E"/>
    <w:rsid w:val="009B230E"/>
    <w:rsid w:val="009B28C9"/>
    <w:rsid w:val="009B2AFA"/>
    <w:rsid w:val="009B2C5C"/>
    <w:rsid w:val="009B2E85"/>
    <w:rsid w:val="009B32BB"/>
    <w:rsid w:val="009B373A"/>
    <w:rsid w:val="009B3A92"/>
    <w:rsid w:val="009B3C29"/>
    <w:rsid w:val="009B3DC1"/>
    <w:rsid w:val="009B4F59"/>
    <w:rsid w:val="009B581D"/>
    <w:rsid w:val="009B593C"/>
    <w:rsid w:val="009B5F85"/>
    <w:rsid w:val="009B60AE"/>
    <w:rsid w:val="009B62E5"/>
    <w:rsid w:val="009B679F"/>
    <w:rsid w:val="009B6EA7"/>
    <w:rsid w:val="009B6F2A"/>
    <w:rsid w:val="009B6F2B"/>
    <w:rsid w:val="009B717B"/>
    <w:rsid w:val="009B78E1"/>
    <w:rsid w:val="009B7944"/>
    <w:rsid w:val="009C011B"/>
    <w:rsid w:val="009C035D"/>
    <w:rsid w:val="009C073E"/>
    <w:rsid w:val="009C0EA6"/>
    <w:rsid w:val="009C0EAC"/>
    <w:rsid w:val="009C1377"/>
    <w:rsid w:val="009C18FC"/>
    <w:rsid w:val="009C1D4A"/>
    <w:rsid w:val="009C20C3"/>
    <w:rsid w:val="009C26C7"/>
    <w:rsid w:val="009C2A59"/>
    <w:rsid w:val="009C32F2"/>
    <w:rsid w:val="009C351E"/>
    <w:rsid w:val="009C397C"/>
    <w:rsid w:val="009C3AA4"/>
    <w:rsid w:val="009C3C0A"/>
    <w:rsid w:val="009C3C87"/>
    <w:rsid w:val="009C3D79"/>
    <w:rsid w:val="009C3DD3"/>
    <w:rsid w:val="009C3F11"/>
    <w:rsid w:val="009C3FD2"/>
    <w:rsid w:val="009C4580"/>
    <w:rsid w:val="009C49A9"/>
    <w:rsid w:val="009C4ABB"/>
    <w:rsid w:val="009C4E53"/>
    <w:rsid w:val="009C5067"/>
    <w:rsid w:val="009C5344"/>
    <w:rsid w:val="009C5403"/>
    <w:rsid w:val="009C5746"/>
    <w:rsid w:val="009C58D8"/>
    <w:rsid w:val="009C59DF"/>
    <w:rsid w:val="009C5B0B"/>
    <w:rsid w:val="009C638C"/>
    <w:rsid w:val="009C63E6"/>
    <w:rsid w:val="009C651D"/>
    <w:rsid w:val="009C6D55"/>
    <w:rsid w:val="009C72BF"/>
    <w:rsid w:val="009C78E9"/>
    <w:rsid w:val="009C7A3C"/>
    <w:rsid w:val="009C7C92"/>
    <w:rsid w:val="009C7E7B"/>
    <w:rsid w:val="009C7F76"/>
    <w:rsid w:val="009D0188"/>
    <w:rsid w:val="009D0249"/>
    <w:rsid w:val="009D077B"/>
    <w:rsid w:val="009D08A4"/>
    <w:rsid w:val="009D0AF6"/>
    <w:rsid w:val="009D0B36"/>
    <w:rsid w:val="009D0B54"/>
    <w:rsid w:val="009D0BCC"/>
    <w:rsid w:val="009D134E"/>
    <w:rsid w:val="009D1429"/>
    <w:rsid w:val="009D1792"/>
    <w:rsid w:val="009D1A65"/>
    <w:rsid w:val="009D1CF5"/>
    <w:rsid w:val="009D3290"/>
    <w:rsid w:val="009D352A"/>
    <w:rsid w:val="009D3BD2"/>
    <w:rsid w:val="009D4469"/>
    <w:rsid w:val="009D4C0D"/>
    <w:rsid w:val="009D5FAB"/>
    <w:rsid w:val="009D6845"/>
    <w:rsid w:val="009D6A6C"/>
    <w:rsid w:val="009D70F4"/>
    <w:rsid w:val="009D71D4"/>
    <w:rsid w:val="009D755E"/>
    <w:rsid w:val="009D75AE"/>
    <w:rsid w:val="009D762C"/>
    <w:rsid w:val="009D7BAE"/>
    <w:rsid w:val="009E0596"/>
    <w:rsid w:val="009E05C3"/>
    <w:rsid w:val="009E083E"/>
    <w:rsid w:val="009E0A8D"/>
    <w:rsid w:val="009E0B12"/>
    <w:rsid w:val="009E0CF5"/>
    <w:rsid w:val="009E0F63"/>
    <w:rsid w:val="009E1067"/>
    <w:rsid w:val="009E121D"/>
    <w:rsid w:val="009E141F"/>
    <w:rsid w:val="009E1582"/>
    <w:rsid w:val="009E17D9"/>
    <w:rsid w:val="009E1B48"/>
    <w:rsid w:val="009E1EF6"/>
    <w:rsid w:val="009E20E7"/>
    <w:rsid w:val="009E2592"/>
    <w:rsid w:val="009E26BF"/>
    <w:rsid w:val="009E26C6"/>
    <w:rsid w:val="009E2900"/>
    <w:rsid w:val="009E2A2A"/>
    <w:rsid w:val="009E2C0B"/>
    <w:rsid w:val="009E327D"/>
    <w:rsid w:val="009E3364"/>
    <w:rsid w:val="009E3449"/>
    <w:rsid w:val="009E356D"/>
    <w:rsid w:val="009E357F"/>
    <w:rsid w:val="009E378A"/>
    <w:rsid w:val="009E3C14"/>
    <w:rsid w:val="009E3DD2"/>
    <w:rsid w:val="009E4870"/>
    <w:rsid w:val="009E48D4"/>
    <w:rsid w:val="009E4B68"/>
    <w:rsid w:val="009E4B96"/>
    <w:rsid w:val="009E4E8B"/>
    <w:rsid w:val="009E4F61"/>
    <w:rsid w:val="009E5136"/>
    <w:rsid w:val="009E58DB"/>
    <w:rsid w:val="009E5DEA"/>
    <w:rsid w:val="009E641C"/>
    <w:rsid w:val="009E6BB8"/>
    <w:rsid w:val="009E72F6"/>
    <w:rsid w:val="009E7715"/>
    <w:rsid w:val="009F0981"/>
    <w:rsid w:val="009F12BB"/>
    <w:rsid w:val="009F12C7"/>
    <w:rsid w:val="009F17E6"/>
    <w:rsid w:val="009F1A31"/>
    <w:rsid w:val="009F1F24"/>
    <w:rsid w:val="009F2047"/>
    <w:rsid w:val="009F21B5"/>
    <w:rsid w:val="009F256A"/>
    <w:rsid w:val="009F2605"/>
    <w:rsid w:val="009F2917"/>
    <w:rsid w:val="009F2A93"/>
    <w:rsid w:val="009F2E0B"/>
    <w:rsid w:val="009F30F8"/>
    <w:rsid w:val="009F30FA"/>
    <w:rsid w:val="009F3184"/>
    <w:rsid w:val="009F31CE"/>
    <w:rsid w:val="009F3537"/>
    <w:rsid w:val="009F3B00"/>
    <w:rsid w:val="009F40A3"/>
    <w:rsid w:val="009F437A"/>
    <w:rsid w:val="009F4391"/>
    <w:rsid w:val="009F4A87"/>
    <w:rsid w:val="009F4BD0"/>
    <w:rsid w:val="009F4CA7"/>
    <w:rsid w:val="009F5081"/>
    <w:rsid w:val="009F50A5"/>
    <w:rsid w:val="009F53FB"/>
    <w:rsid w:val="009F5457"/>
    <w:rsid w:val="009F5688"/>
    <w:rsid w:val="009F56EB"/>
    <w:rsid w:val="009F597E"/>
    <w:rsid w:val="009F5D58"/>
    <w:rsid w:val="009F5E88"/>
    <w:rsid w:val="009F611E"/>
    <w:rsid w:val="009F632E"/>
    <w:rsid w:val="009F63AC"/>
    <w:rsid w:val="009F6F1B"/>
    <w:rsid w:val="009F757D"/>
    <w:rsid w:val="009F769D"/>
    <w:rsid w:val="009F76DE"/>
    <w:rsid w:val="009F7B9C"/>
    <w:rsid w:val="009F7D07"/>
    <w:rsid w:val="009F7D70"/>
    <w:rsid w:val="009F7E3D"/>
    <w:rsid w:val="009F7F40"/>
    <w:rsid w:val="009F7FD3"/>
    <w:rsid w:val="00A00028"/>
    <w:rsid w:val="00A001A1"/>
    <w:rsid w:val="00A00B82"/>
    <w:rsid w:val="00A00D4A"/>
    <w:rsid w:val="00A0109C"/>
    <w:rsid w:val="00A010E9"/>
    <w:rsid w:val="00A01193"/>
    <w:rsid w:val="00A01265"/>
    <w:rsid w:val="00A01B8B"/>
    <w:rsid w:val="00A01DE6"/>
    <w:rsid w:val="00A023FF"/>
    <w:rsid w:val="00A025EB"/>
    <w:rsid w:val="00A029D1"/>
    <w:rsid w:val="00A029F6"/>
    <w:rsid w:val="00A02B8F"/>
    <w:rsid w:val="00A02C39"/>
    <w:rsid w:val="00A02F52"/>
    <w:rsid w:val="00A02FAD"/>
    <w:rsid w:val="00A03165"/>
    <w:rsid w:val="00A034EA"/>
    <w:rsid w:val="00A03C76"/>
    <w:rsid w:val="00A0449F"/>
    <w:rsid w:val="00A047D6"/>
    <w:rsid w:val="00A04A29"/>
    <w:rsid w:val="00A04D7E"/>
    <w:rsid w:val="00A053AD"/>
    <w:rsid w:val="00A056AA"/>
    <w:rsid w:val="00A05754"/>
    <w:rsid w:val="00A05AA7"/>
    <w:rsid w:val="00A05B09"/>
    <w:rsid w:val="00A063E2"/>
    <w:rsid w:val="00A06789"/>
    <w:rsid w:val="00A07225"/>
    <w:rsid w:val="00A075F6"/>
    <w:rsid w:val="00A077A3"/>
    <w:rsid w:val="00A07900"/>
    <w:rsid w:val="00A07947"/>
    <w:rsid w:val="00A07949"/>
    <w:rsid w:val="00A07DFC"/>
    <w:rsid w:val="00A11196"/>
    <w:rsid w:val="00A112BA"/>
    <w:rsid w:val="00A1136C"/>
    <w:rsid w:val="00A1150B"/>
    <w:rsid w:val="00A11521"/>
    <w:rsid w:val="00A115F7"/>
    <w:rsid w:val="00A11725"/>
    <w:rsid w:val="00A119FE"/>
    <w:rsid w:val="00A12707"/>
    <w:rsid w:val="00A129A8"/>
    <w:rsid w:val="00A13152"/>
    <w:rsid w:val="00A134B0"/>
    <w:rsid w:val="00A13A12"/>
    <w:rsid w:val="00A13ADF"/>
    <w:rsid w:val="00A140C7"/>
    <w:rsid w:val="00A149E5"/>
    <w:rsid w:val="00A14B88"/>
    <w:rsid w:val="00A15011"/>
    <w:rsid w:val="00A1513E"/>
    <w:rsid w:val="00A154A2"/>
    <w:rsid w:val="00A15755"/>
    <w:rsid w:val="00A161AA"/>
    <w:rsid w:val="00A17014"/>
    <w:rsid w:val="00A1724C"/>
    <w:rsid w:val="00A178B3"/>
    <w:rsid w:val="00A2032F"/>
    <w:rsid w:val="00A20428"/>
    <w:rsid w:val="00A20BE2"/>
    <w:rsid w:val="00A20E24"/>
    <w:rsid w:val="00A2114E"/>
    <w:rsid w:val="00A2161D"/>
    <w:rsid w:val="00A21EE0"/>
    <w:rsid w:val="00A21FF7"/>
    <w:rsid w:val="00A2215C"/>
    <w:rsid w:val="00A22507"/>
    <w:rsid w:val="00A2271F"/>
    <w:rsid w:val="00A227A1"/>
    <w:rsid w:val="00A22A94"/>
    <w:rsid w:val="00A22AEF"/>
    <w:rsid w:val="00A22E03"/>
    <w:rsid w:val="00A22E69"/>
    <w:rsid w:val="00A22F3F"/>
    <w:rsid w:val="00A2387F"/>
    <w:rsid w:val="00A23931"/>
    <w:rsid w:val="00A23C32"/>
    <w:rsid w:val="00A23DCA"/>
    <w:rsid w:val="00A241D5"/>
    <w:rsid w:val="00A2440D"/>
    <w:rsid w:val="00A2458C"/>
    <w:rsid w:val="00A24716"/>
    <w:rsid w:val="00A24D7E"/>
    <w:rsid w:val="00A24FFE"/>
    <w:rsid w:val="00A2510C"/>
    <w:rsid w:val="00A25191"/>
    <w:rsid w:val="00A252B7"/>
    <w:rsid w:val="00A2533B"/>
    <w:rsid w:val="00A255EA"/>
    <w:rsid w:val="00A25642"/>
    <w:rsid w:val="00A25878"/>
    <w:rsid w:val="00A258C9"/>
    <w:rsid w:val="00A261E4"/>
    <w:rsid w:val="00A263D0"/>
    <w:rsid w:val="00A2641C"/>
    <w:rsid w:val="00A2671D"/>
    <w:rsid w:val="00A26995"/>
    <w:rsid w:val="00A26FBF"/>
    <w:rsid w:val="00A26FD8"/>
    <w:rsid w:val="00A27189"/>
    <w:rsid w:val="00A2741B"/>
    <w:rsid w:val="00A27EAF"/>
    <w:rsid w:val="00A301BF"/>
    <w:rsid w:val="00A30276"/>
    <w:rsid w:val="00A30494"/>
    <w:rsid w:val="00A304C0"/>
    <w:rsid w:val="00A30709"/>
    <w:rsid w:val="00A3093D"/>
    <w:rsid w:val="00A3093F"/>
    <w:rsid w:val="00A309D9"/>
    <w:rsid w:val="00A309F1"/>
    <w:rsid w:val="00A30CE4"/>
    <w:rsid w:val="00A313BA"/>
    <w:rsid w:val="00A316F3"/>
    <w:rsid w:val="00A31701"/>
    <w:rsid w:val="00A31898"/>
    <w:rsid w:val="00A31B12"/>
    <w:rsid w:val="00A31D81"/>
    <w:rsid w:val="00A31EBA"/>
    <w:rsid w:val="00A322C9"/>
    <w:rsid w:val="00A323F4"/>
    <w:rsid w:val="00A326D9"/>
    <w:rsid w:val="00A339B6"/>
    <w:rsid w:val="00A33A40"/>
    <w:rsid w:val="00A33A80"/>
    <w:rsid w:val="00A33BD0"/>
    <w:rsid w:val="00A33CC6"/>
    <w:rsid w:val="00A34096"/>
    <w:rsid w:val="00A3424E"/>
    <w:rsid w:val="00A347CC"/>
    <w:rsid w:val="00A34F36"/>
    <w:rsid w:val="00A351B0"/>
    <w:rsid w:val="00A35434"/>
    <w:rsid w:val="00A35661"/>
    <w:rsid w:val="00A3572F"/>
    <w:rsid w:val="00A362CB"/>
    <w:rsid w:val="00A365FA"/>
    <w:rsid w:val="00A3731E"/>
    <w:rsid w:val="00A373D9"/>
    <w:rsid w:val="00A37A6D"/>
    <w:rsid w:val="00A37CF2"/>
    <w:rsid w:val="00A40231"/>
    <w:rsid w:val="00A402EC"/>
    <w:rsid w:val="00A40690"/>
    <w:rsid w:val="00A40A4C"/>
    <w:rsid w:val="00A40A60"/>
    <w:rsid w:val="00A40C05"/>
    <w:rsid w:val="00A40EC8"/>
    <w:rsid w:val="00A41D90"/>
    <w:rsid w:val="00A41FC6"/>
    <w:rsid w:val="00A423CB"/>
    <w:rsid w:val="00A428A7"/>
    <w:rsid w:val="00A42B53"/>
    <w:rsid w:val="00A42C99"/>
    <w:rsid w:val="00A42CCC"/>
    <w:rsid w:val="00A42D51"/>
    <w:rsid w:val="00A42E62"/>
    <w:rsid w:val="00A4314A"/>
    <w:rsid w:val="00A4375B"/>
    <w:rsid w:val="00A43861"/>
    <w:rsid w:val="00A43E93"/>
    <w:rsid w:val="00A44030"/>
    <w:rsid w:val="00A4419A"/>
    <w:rsid w:val="00A4424D"/>
    <w:rsid w:val="00A443FB"/>
    <w:rsid w:val="00A4462C"/>
    <w:rsid w:val="00A446F5"/>
    <w:rsid w:val="00A44A1C"/>
    <w:rsid w:val="00A44ED6"/>
    <w:rsid w:val="00A44FE3"/>
    <w:rsid w:val="00A45026"/>
    <w:rsid w:val="00A45278"/>
    <w:rsid w:val="00A45AEB"/>
    <w:rsid w:val="00A46144"/>
    <w:rsid w:val="00A461B5"/>
    <w:rsid w:val="00A461D7"/>
    <w:rsid w:val="00A46727"/>
    <w:rsid w:val="00A46B20"/>
    <w:rsid w:val="00A46B96"/>
    <w:rsid w:val="00A46F35"/>
    <w:rsid w:val="00A46FA4"/>
    <w:rsid w:val="00A47165"/>
    <w:rsid w:val="00A474D9"/>
    <w:rsid w:val="00A4766A"/>
    <w:rsid w:val="00A47E8E"/>
    <w:rsid w:val="00A500D0"/>
    <w:rsid w:val="00A505DA"/>
    <w:rsid w:val="00A5068C"/>
    <w:rsid w:val="00A507C0"/>
    <w:rsid w:val="00A50965"/>
    <w:rsid w:val="00A51552"/>
    <w:rsid w:val="00A51706"/>
    <w:rsid w:val="00A5176E"/>
    <w:rsid w:val="00A5180D"/>
    <w:rsid w:val="00A5181D"/>
    <w:rsid w:val="00A51E5D"/>
    <w:rsid w:val="00A51F3C"/>
    <w:rsid w:val="00A52465"/>
    <w:rsid w:val="00A527ED"/>
    <w:rsid w:val="00A529D5"/>
    <w:rsid w:val="00A52A20"/>
    <w:rsid w:val="00A52D15"/>
    <w:rsid w:val="00A53226"/>
    <w:rsid w:val="00A53CFD"/>
    <w:rsid w:val="00A53F65"/>
    <w:rsid w:val="00A5404B"/>
    <w:rsid w:val="00A54316"/>
    <w:rsid w:val="00A54394"/>
    <w:rsid w:val="00A54BDA"/>
    <w:rsid w:val="00A54EFD"/>
    <w:rsid w:val="00A54F64"/>
    <w:rsid w:val="00A55082"/>
    <w:rsid w:val="00A551DC"/>
    <w:rsid w:val="00A559B4"/>
    <w:rsid w:val="00A560C0"/>
    <w:rsid w:val="00A56670"/>
    <w:rsid w:val="00A56A32"/>
    <w:rsid w:val="00A56A47"/>
    <w:rsid w:val="00A56DD3"/>
    <w:rsid w:val="00A56EFC"/>
    <w:rsid w:val="00A57227"/>
    <w:rsid w:val="00A57B80"/>
    <w:rsid w:val="00A57BB9"/>
    <w:rsid w:val="00A60657"/>
    <w:rsid w:val="00A609B7"/>
    <w:rsid w:val="00A60DB2"/>
    <w:rsid w:val="00A60DFA"/>
    <w:rsid w:val="00A60E8C"/>
    <w:rsid w:val="00A60ED5"/>
    <w:rsid w:val="00A612A5"/>
    <w:rsid w:val="00A61862"/>
    <w:rsid w:val="00A618D4"/>
    <w:rsid w:val="00A61A9A"/>
    <w:rsid w:val="00A61BB2"/>
    <w:rsid w:val="00A61D49"/>
    <w:rsid w:val="00A61D86"/>
    <w:rsid w:val="00A61DF1"/>
    <w:rsid w:val="00A626DB"/>
    <w:rsid w:val="00A6291C"/>
    <w:rsid w:val="00A62B1B"/>
    <w:rsid w:val="00A62E19"/>
    <w:rsid w:val="00A63146"/>
    <w:rsid w:val="00A63393"/>
    <w:rsid w:val="00A635E0"/>
    <w:rsid w:val="00A639BF"/>
    <w:rsid w:val="00A63D02"/>
    <w:rsid w:val="00A63D19"/>
    <w:rsid w:val="00A64168"/>
    <w:rsid w:val="00A6454E"/>
    <w:rsid w:val="00A6475F"/>
    <w:rsid w:val="00A648B2"/>
    <w:rsid w:val="00A649A8"/>
    <w:rsid w:val="00A64BB4"/>
    <w:rsid w:val="00A65CFB"/>
    <w:rsid w:val="00A65EC9"/>
    <w:rsid w:val="00A660B6"/>
    <w:rsid w:val="00A66614"/>
    <w:rsid w:val="00A6690E"/>
    <w:rsid w:val="00A66B2D"/>
    <w:rsid w:val="00A66CA8"/>
    <w:rsid w:val="00A675CA"/>
    <w:rsid w:val="00A67747"/>
    <w:rsid w:val="00A677DB"/>
    <w:rsid w:val="00A679FD"/>
    <w:rsid w:val="00A67CDD"/>
    <w:rsid w:val="00A67D10"/>
    <w:rsid w:val="00A67D83"/>
    <w:rsid w:val="00A67F40"/>
    <w:rsid w:val="00A7049E"/>
    <w:rsid w:val="00A70A12"/>
    <w:rsid w:val="00A70ABD"/>
    <w:rsid w:val="00A70BEE"/>
    <w:rsid w:val="00A70EEF"/>
    <w:rsid w:val="00A712D2"/>
    <w:rsid w:val="00A7181D"/>
    <w:rsid w:val="00A71A48"/>
    <w:rsid w:val="00A71B0A"/>
    <w:rsid w:val="00A7202D"/>
    <w:rsid w:val="00A720E2"/>
    <w:rsid w:val="00A72655"/>
    <w:rsid w:val="00A728A1"/>
    <w:rsid w:val="00A7327F"/>
    <w:rsid w:val="00A734C4"/>
    <w:rsid w:val="00A7369E"/>
    <w:rsid w:val="00A7391C"/>
    <w:rsid w:val="00A73CB8"/>
    <w:rsid w:val="00A74001"/>
    <w:rsid w:val="00A74EC3"/>
    <w:rsid w:val="00A74F32"/>
    <w:rsid w:val="00A75223"/>
    <w:rsid w:val="00A75294"/>
    <w:rsid w:val="00A75A86"/>
    <w:rsid w:val="00A75CC7"/>
    <w:rsid w:val="00A762EA"/>
    <w:rsid w:val="00A7664C"/>
    <w:rsid w:val="00A7683E"/>
    <w:rsid w:val="00A76995"/>
    <w:rsid w:val="00A769FA"/>
    <w:rsid w:val="00A76CD8"/>
    <w:rsid w:val="00A76D99"/>
    <w:rsid w:val="00A77E6A"/>
    <w:rsid w:val="00A77EBD"/>
    <w:rsid w:val="00A77F70"/>
    <w:rsid w:val="00A8036D"/>
    <w:rsid w:val="00A80892"/>
    <w:rsid w:val="00A8092B"/>
    <w:rsid w:val="00A80ADF"/>
    <w:rsid w:val="00A80B65"/>
    <w:rsid w:val="00A80CE1"/>
    <w:rsid w:val="00A80F93"/>
    <w:rsid w:val="00A8183C"/>
    <w:rsid w:val="00A818B6"/>
    <w:rsid w:val="00A8190F"/>
    <w:rsid w:val="00A81D5A"/>
    <w:rsid w:val="00A81EF3"/>
    <w:rsid w:val="00A81F60"/>
    <w:rsid w:val="00A821A3"/>
    <w:rsid w:val="00A82224"/>
    <w:rsid w:val="00A82256"/>
    <w:rsid w:val="00A8272E"/>
    <w:rsid w:val="00A82CDE"/>
    <w:rsid w:val="00A82FDF"/>
    <w:rsid w:val="00A83B25"/>
    <w:rsid w:val="00A8405F"/>
    <w:rsid w:val="00A84372"/>
    <w:rsid w:val="00A84376"/>
    <w:rsid w:val="00A84492"/>
    <w:rsid w:val="00A84519"/>
    <w:rsid w:val="00A84533"/>
    <w:rsid w:val="00A84722"/>
    <w:rsid w:val="00A84B06"/>
    <w:rsid w:val="00A84D1C"/>
    <w:rsid w:val="00A84D7D"/>
    <w:rsid w:val="00A84DBB"/>
    <w:rsid w:val="00A84E1D"/>
    <w:rsid w:val="00A84FAD"/>
    <w:rsid w:val="00A852C0"/>
    <w:rsid w:val="00A855F7"/>
    <w:rsid w:val="00A85862"/>
    <w:rsid w:val="00A85BF4"/>
    <w:rsid w:val="00A85FB0"/>
    <w:rsid w:val="00A86462"/>
    <w:rsid w:val="00A864E6"/>
    <w:rsid w:val="00A867FC"/>
    <w:rsid w:val="00A8695E"/>
    <w:rsid w:val="00A86D8B"/>
    <w:rsid w:val="00A8725C"/>
    <w:rsid w:val="00A90006"/>
    <w:rsid w:val="00A902CF"/>
    <w:rsid w:val="00A9061E"/>
    <w:rsid w:val="00A90647"/>
    <w:rsid w:val="00A9076A"/>
    <w:rsid w:val="00A90E20"/>
    <w:rsid w:val="00A90E70"/>
    <w:rsid w:val="00A91045"/>
    <w:rsid w:val="00A91C19"/>
    <w:rsid w:val="00A91E4E"/>
    <w:rsid w:val="00A92043"/>
    <w:rsid w:val="00A92427"/>
    <w:rsid w:val="00A9280B"/>
    <w:rsid w:val="00A93200"/>
    <w:rsid w:val="00A93664"/>
    <w:rsid w:val="00A937AE"/>
    <w:rsid w:val="00A93ACC"/>
    <w:rsid w:val="00A93F0A"/>
    <w:rsid w:val="00A943ED"/>
    <w:rsid w:val="00A9461D"/>
    <w:rsid w:val="00A946F5"/>
    <w:rsid w:val="00A9489E"/>
    <w:rsid w:val="00A94F59"/>
    <w:rsid w:val="00A950FD"/>
    <w:rsid w:val="00A95382"/>
    <w:rsid w:val="00A956C8"/>
    <w:rsid w:val="00A957CD"/>
    <w:rsid w:val="00A95D4A"/>
    <w:rsid w:val="00A95FED"/>
    <w:rsid w:val="00A966E3"/>
    <w:rsid w:val="00A96A62"/>
    <w:rsid w:val="00A97556"/>
    <w:rsid w:val="00A9788F"/>
    <w:rsid w:val="00A979FB"/>
    <w:rsid w:val="00A97A78"/>
    <w:rsid w:val="00A97DB2"/>
    <w:rsid w:val="00AA0026"/>
    <w:rsid w:val="00AA01B6"/>
    <w:rsid w:val="00AA0606"/>
    <w:rsid w:val="00AA0B6E"/>
    <w:rsid w:val="00AA0C84"/>
    <w:rsid w:val="00AA0D31"/>
    <w:rsid w:val="00AA0EE0"/>
    <w:rsid w:val="00AA1067"/>
    <w:rsid w:val="00AA1144"/>
    <w:rsid w:val="00AA130E"/>
    <w:rsid w:val="00AA1429"/>
    <w:rsid w:val="00AA1470"/>
    <w:rsid w:val="00AA1595"/>
    <w:rsid w:val="00AA17B9"/>
    <w:rsid w:val="00AA18FA"/>
    <w:rsid w:val="00AA1B00"/>
    <w:rsid w:val="00AA1BEB"/>
    <w:rsid w:val="00AA2188"/>
    <w:rsid w:val="00AA288B"/>
    <w:rsid w:val="00AA2990"/>
    <w:rsid w:val="00AA2CF1"/>
    <w:rsid w:val="00AA2F38"/>
    <w:rsid w:val="00AA306E"/>
    <w:rsid w:val="00AA312E"/>
    <w:rsid w:val="00AA3326"/>
    <w:rsid w:val="00AA356A"/>
    <w:rsid w:val="00AA35F4"/>
    <w:rsid w:val="00AA3845"/>
    <w:rsid w:val="00AA39F2"/>
    <w:rsid w:val="00AA3A2E"/>
    <w:rsid w:val="00AA3B61"/>
    <w:rsid w:val="00AA44D5"/>
    <w:rsid w:val="00AA475F"/>
    <w:rsid w:val="00AA47EA"/>
    <w:rsid w:val="00AA4E56"/>
    <w:rsid w:val="00AA56FD"/>
    <w:rsid w:val="00AA5C9F"/>
    <w:rsid w:val="00AA5F65"/>
    <w:rsid w:val="00AA5FF5"/>
    <w:rsid w:val="00AA66F9"/>
    <w:rsid w:val="00AA6B48"/>
    <w:rsid w:val="00AA6CB2"/>
    <w:rsid w:val="00AA6FC9"/>
    <w:rsid w:val="00AA7079"/>
    <w:rsid w:val="00AA7220"/>
    <w:rsid w:val="00AA7879"/>
    <w:rsid w:val="00AA7CD2"/>
    <w:rsid w:val="00AA7D0A"/>
    <w:rsid w:val="00AB014C"/>
    <w:rsid w:val="00AB0AF2"/>
    <w:rsid w:val="00AB0BB1"/>
    <w:rsid w:val="00AB0CF8"/>
    <w:rsid w:val="00AB0E63"/>
    <w:rsid w:val="00AB1025"/>
    <w:rsid w:val="00AB11A8"/>
    <w:rsid w:val="00AB1724"/>
    <w:rsid w:val="00AB24E6"/>
    <w:rsid w:val="00AB253C"/>
    <w:rsid w:val="00AB2613"/>
    <w:rsid w:val="00AB2AE2"/>
    <w:rsid w:val="00AB2E39"/>
    <w:rsid w:val="00AB2F73"/>
    <w:rsid w:val="00AB30AC"/>
    <w:rsid w:val="00AB350B"/>
    <w:rsid w:val="00AB3686"/>
    <w:rsid w:val="00AB37FC"/>
    <w:rsid w:val="00AB3803"/>
    <w:rsid w:val="00AB38FD"/>
    <w:rsid w:val="00AB39A1"/>
    <w:rsid w:val="00AB3AF6"/>
    <w:rsid w:val="00AB4054"/>
    <w:rsid w:val="00AB414F"/>
    <w:rsid w:val="00AB4E72"/>
    <w:rsid w:val="00AB4EB4"/>
    <w:rsid w:val="00AB5548"/>
    <w:rsid w:val="00AB69A5"/>
    <w:rsid w:val="00AB6B4A"/>
    <w:rsid w:val="00AB6DD6"/>
    <w:rsid w:val="00AB7023"/>
    <w:rsid w:val="00AB702A"/>
    <w:rsid w:val="00AB7127"/>
    <w:rsid w:val="00AB751C"/>
    <w:rsid w:val="00AB758E"/>
    <w:rsid w:val="00AB7710"/>
    <w:rsid w:val="00AC001B"/>
    <w:rsid w:val="00AC0A95"/>
    <w:rsid w:val="00AC0BD6"/>
    <w:rsid w:val="00AC0C14"/>
    <w:rsid w:val="00AC0F01"/>
    <w:rsid w:val="00AC1184"/>
    <w:rsid w:val="00AC1476"/>
    <w:rsid w:val="00AC14AC"/>
    <w:rsid w:val="00AC226A"/>
    <w:rsid w:val="00AC23DB"/>
    <w:rsid w:val="00AC2609"/>
    <w:rsid w:val="00AC29E6"/>
    <w:rsid w:val="00AC29F7"/>
    <w:rsid w:val="00AC3354"/>
    <w:rsid w:val="00AC3A03"/>
    <w:rsid w:val="00AC4C31"/>
    <w:rsid w:val="00AC4D97"/>
    <w:rsid w:val="00AC4E05"/>
    <w:rsid w:val="00AC4E51"/>
    <w:rsid w:val="00AC5182"/>
    <w:rsid w:val="00AC520B"/>
    <w:rsid w:val="00AC59D9"/>
    <w:rsid w:val="00AC609D"/>
    <w:rsid w:val="00AC65EF"/>
    <w:rsid w:val="00AC66E9"/>
    <w:rsid w:val="00AC6751"/>
    <w:rsid w:val="00AC6ACE"/>
    <w:rsid w:val="00AC7029"/>
    <w:rsid w:val="00AC71EF"/>
    <w:rsid w:val="00AC74BC"/>
    <w:rsid w:val="00AC7764"/>
    <w:rsid w:val="00AC77CF"/>
    <w:rsid w:val="00AC78B5"/>
    <w:rsid w:val="00AC792A"/>
    <w:rsid w:val="00AC7961"/>
    <w:rsid w:val="00AC7D53"/>
    <w:rsid w:val="00AD0537"/>
    <w:rsid w:val="00AD0893"/>
    <w:rsid w:val="00AD09AE"/>
    <w:rsid w:val="00AD1390"/>
    <w:rsid w:val="00AD161D"/>
    <w:rsid w:val="00AD1A37"/>
    <w:rsid w:val="00AD1C3B"/>
    <w:rsid w:val="00AD221F"/>
    <w:rsid w:val="00AD2281"/>
    <w:rsid w:val="00AD2517"/>
    <w:rsid w:val="00AD2848"/>
    <w:rsid w:val="00AD2D70"/>
    <w:rsid w:val="00AD2FEF"/>
    <w:rsid w:val="00AD3E37"/>
    <w:rsid w:val="00AD4288"/>
    <w:rsid w:val="00AD45EB"/>
    <w:rsid w:val="00AD476B"/>
    <w:rsid w:val="00AD481D"/>
    <w:rsid w:val="00AD4ECB"/>
    <w:rsid w:val="00AD4EEC"/>
    <w:rsid w:val="00AD538F"/>
    <w:rsid w:val="00AD545C"/>
    <w:rsid w:val="00AD54C4"/>
    <w:rsid w:val="00AD5842"/>
    <w:rsid w:val="00AD59DE"/>
    <w:rsid w:val="00AD5DDE"/>
    <w:rsid w:val="00AD67A2"/>
    <w:rsid w:val="00AD6EDB"/>
    <w:rsid w:val="00AD6F01"/>
    <w:rsid w:val="00AD7013"/>
    <w:rsid w:val="00AD74A6"/>
    <w:rsid w:val="00AD7885"/>
    <w:rsid w:val="00AD7CD2"/>
    <w:rsid w:val="00AD7D6E"/>
    <w:rsid w:val="00AD7E8F"/>
    <w:rsid w:val="00AE07D4"/>
    <w:rsid w:val="00AE0802"/>
    <w:rsid w:val="00AE09E6"/>
    <w:rsid w:val="00AE0AFB"/>
    <w:rsid w:val="00AE0DF5"/>
    <w:rsid w:val="00AE0E9F"/>
    <w:rsid w:val="00AE1351"/>
    <w:rsid w:val="00AE1E4F"/>
    <w:rsid w:val="00AE22C2"/>
    <w:rsid w:val="00AE24E4"/>
    <w:rsid w:val="00AE291D"/>
    <w:rsid w:val="00AE2A38"/>
    <w:rsid w:val="00AE2B3D"/>
    <w:rsid w:val="00AE2C99"/>
    <w:rsid w:val="00AE2CC2"/>
    <w:rsid w:val="00AE2E0D"/>
    <w:rsid w:val="00AE31A9"/>
    <w:rsid w:val="00AE377C"/>
    <w:rsid w:val="00AE380E"/>
    <w:rsid w:val="00AE49DE"/>
    <w:rsid w:val="00AE4A65"/>
    <w:rsid w:val="00AE4BDA"/>
    <w:rsid w:val="00AE4C62"/>
    <w:rsid w:val="00AE4C90"/>
    <w:rsid w:val="00AE5596"/>
    <w:rsid w:val="00AE564F"/>
    <w:rsid w:val="00AE5A96"/>
    <w:rsid w:val="00AE6489"/>
    <w:rsid w:val="00AE6A69"/>
    <w:rsid w:val="00AE6CED"/>
    <w:rsid w:val="00AE772E"/>
    <w:rsid w:val="00AE77A2"/>
    <w:rsid w:val="00AE79AD"/>
    <w:rsid w:val="00AE7E5E"/>
    <w:rsid w:val="00AE7E65"/>
    <w:rsid w:val="00AF030A"/>
    <w:rsid w:val="00AF0540"/>
    <w:rsid w:val="00AF0556"/>
    <w:rsid w:val="00AF05A8"/>
    <w:rsid w:val="00AF0639"/>
    <w:rsid w:val="00AF06F9"/>
    <w:rsid w:val="00AF0E0E"/>
    <w:rsid w:val="00AF100F"/>
    <w:rsid w:val="00AF1039"/>
    <w:rsid w:val="00AF1221"/>
    <w:rsid w:val="00AF179A"/>
    <w:rsid w:val="00AF2099"/>
    <w:rsid w:val="00AF2340"/>
    <w:rsid w:val="00AF2360"/>
    <w:rsid w:val="00AF2B60"/>
    <w:rsid w:val="00AF33EC"/>
    <w:rsid w:val="00AF343B"/>
    <w:rsid w:val="00AF3EA8"/>
    <w:rsid w:val="00AF40FF"/>
    <w:rsid w:val="00AF41AB"/>
    <w:rsid w:val="00AF4372"/>
    <w:rsid w:val="00AF495D"/>
    <w:rsid w:val="00AF4AE9"/>
    <w:rsid w:val="00AF4BA5"/>
    <w:rsid w:val="00AF4D2D"/>
    <w:rsid w:val="00AF5329"/>
    <w:rsid w:val="00AF5686"/>
    <w:rsid w:val="00AF578B"/>
    <w:rsid w:val="00AF58D5"/>
    <w:rsid w:val="00AF5AC6"/>
    <w:rsid w:val="00AF65C0"/>
    <w:rsid w:val="00AF67B0"/>
    <w:rsid w:val="00AF69E2"/>
    <w:rsid w:val="00AF6A35"/>
    <w:rsid w:val="00AF6BB0"/>
    <w:rsid w:val="00AF6E4E"/>
    <w:rsid w:val="00AF6F6C"/>
    <w:rsid w:val="00AF6F79"/>
    <w:rsid w:val="00AF72B8"/>
    <w:rsid w:val="00AF7344"/>
    <w:rsid w:val="00AF77BB"/>
    <w:rsid w:val="00AF77DF"/>
    <w:rsid w:val="00AF788B"/>
    <w:rsid w:val="00AF7901"/>
    <w:rsid w:val="00AF79C9"/>
    <w:rsid w:val="00B002DA"/>
    <w:rsid w:val="00B0050B"/>
    <w:rsid w:val="00B008D4"/>
    <w:rsid w:val="00B00C27"/>
    <w:rsid w:val="00B00ED9"/>
    <w:rsid w:val="00B01B78"/>
    <w:rsid w:val="00B01BC0"/>
    <w:rsid w:val="00B01EA0"/>
    <w:rsid w:val="00B02521"/>
    <w:rsid w:val="00B02633"/>
    <w:rsid w:val="00B02925"/>
    <w:rsid w:val="00B02B4D"/>
    <w:rsid w:val="00B02B6D"/>
    <w:rsid w:val="00B02CFD"/>
    <w:rsid w:val="00B02FCB"/>
    <w:rsid w:val="00B032D4"/>
    <w:rsid w:val="00B033F6"/>
    <w:rsid w:val="00B03C83"/>
    <w:rsid w:val="00B03F05"/>
    <w:rsid w:val="00B03FB0"/>
    <w:rsid w:val="00B0410A"/>
    <w:rsid w:val="00B044E0"/>
    <w:rsid w:val="00B0471B"/>
    <w:rsid w:val="00B04922"/>
    <w:rsid w:val="00B04B9A"/>
    <w:rsid w:val="00B04C91"/>
    <w:rsid w:val="00B05A56"/>
    <w:rsid w:val="00B05DDB"/>
    <w:rsid w:val="00B06259"/>
    <w:rsid w:val="00B0657A"/>
    <w:rsid w:val="00B06AE4"/>
    <w:rsid w:val="00B06C35"/>
    <w:rsid w:val="00B07320"/>
    <w:rsid w:val="00B07883"/>
    <w:rsid w:val="00B07C2D"/>
    <w:rsid w:val="00B07C33"/>
    <w:rsid w:val="00B07C42"/>
    <w:rsid w:val="00B07E26"/>
    <w:rsid w:val="00B1034D"/>
    <w:rsid w:val="00B10655"/>
    <w:rsid w:val="00B10871"/>
    <w:rsid w:val="00B10F1D"/>
    <w:rsid w:val="00B110F4"/>
    <w:rsid w:val="00B118ED"/>
    <w:rsid w:val="00B11B33"/>
    <w:rsid w:val="00B11BA5"/>
    <w:rsid w:val="00B11CB3"/>
    <w:rsid w:val="00B11F63"/>
    <w:rsid w:val="00B12424"/>
    <w:rsid w:val="00B12D2D"/>
    <w:rsid w:val="00B13164"/>
    <w:rsid w:val="00B1325C"/>
    <w:rsid w:val="00B13561"/>
    <w:rsid w:val="00B13D17"/>
    <w:rsid w:val="00B14560"/>
    <w:rsid w:val="00B14C35"/>
    <w:rsid w:val="00B14CF7"/>
    <w:rsid w:val="00B151B5"/>
    <w:rsid w:val="00B1539C"/>
    <w:rsid w:val="00B1547C"/>
    <w:rsid w:val="00B154C2"/>
    <w:rsid w:val="00B157A0"/>
    <w:rsid w:val="00B158A7"/>
    <w:rsid w:val="00B16066"/>
    <w:rsid w:val="00B16419"/>
    <w:rsid w:val="00B1681F"/>
    <w:rsid w:val="00B16F22"/>
    <w:rsid w:val="00B16F32"/>
    <w:rsid w:val="00B1729B"/>
    <w:rsid w:val="00B1749B"/>
    <w:rsid w:val="00B17809"/>
    <w:rsid w:val="00B17A2C"/>
    <w:rsid w:val="00B17AA3"/>
    <w:rsid w:val="00B17DCD"/>
    <w:rsid w:val="00B200B5"/>
    <w:rsid w:val="00B203E3"/>
    <w:rsid w:val="00B20501"/>
    <w:rsid w:val="00B20710"/>
    <w:rsid w:val="00B20735"/>
    <w:rsid w:val="00B20747"/>
    <w:rsid w:val="00B209EA"/>
    <w:rsid w:val="00B20A8D"/>
    <w:rsid w:val="00B20B1D"/>
    <w:rsid w:val="00B20BD6"/>
    <w:rsid w:val="00B20D35"/>
    <w:rsid w:val="00B20D57"/>
    <w:rsid w:val="00B20E4F"/>
    <w:rsid w:val="00B21B26"/>
    <w:rsid w:val="00B21DA3"/>
    <w:rsid w:val="00B2223E"/>
    <w:rsid w:val="00B22ACE"/>
    <w:rsid w:val="00B22FE1"/>
    <w:rsid w:val="00B23153"/>
    <w:rsid w:val="00B23865"/>
    <w:rsid w:val="00B23CEF"/>
    <w:rsid w:val="00B23D7E"/>
    <w:rsid w:val="00B2407A"/>
    <w:rsid w:val="00B24361"/>
    <w:rsid w:val="00B243DC"/>
    <w:rsid w:val="00B250EE"/>
    <w:rsid w:val="00B25A1A"/>
    <w:rsid w:val="00B25A20"/>
    <w:rsid w:val="00B25EDE"/>
    <w:rsid w:val="00B25F84"/>
    <w:rsid w:val="00B25FBD"/>
    <w:rsid w:val="00B26023"/>
    <w:rsid w:val="00B26063"/>
    <w:rsid w:val="00B262F2"/>
    <w:rsid w:val="00B2700C"/>
    <w:rsid w:val="00B2709B"/>
    <w:rsid w:val="00B27178"/>
    <w:rsid w:val="00B275AA"/>
    <w:rsid w:val="00B27922"/>
    <w:rsid w:val="00B27A39"/>
    <w:rsid w:val="00B30142"/>
    <w:rsid w:val="00B301D4"/>
    <w:rsid w:val="00B302F4"/>
    <w:rsid w:val="00B3074B"/>
    <w:rsid w:val="00B30A64"/>
    <w:rsid w:val="00B30F53"/>
    <w:rsid w:val="00B310AC"/>
    <w:rsid w:val="00B317F7"/>
    <w:rsid w:val="00B3182C"/>
    <w:rsid w:val="00B31A82"/>
    <w:rsid w:val="00B31B04"/>
    <w:rsid w:val="00B31DA8"/>
    <w:rsid w:val="00B32086"/>
    <w:rsid w:val="00B32121"/>
    <w:rsid w:val="00B3225E"/>
    <w:rsid w:val="00B32579"/>
    <w:rsid w:val="00B3277B"/>
    <w:rsid w:val="00B327A5"/>
    <w:rsid w:val="00B32A34"/>
    <w:rsid w:val="00B3308A"/>
    <w:rsid w:val="00B33459"/>
    <w:rsid w:val="00B3391C"/>
    <w:rsid w:val="00B33D5A"/>
    <w:rsid w:val="00B340CB"/>
    <w:rsid w:val="00B34178"/>
    <w:rsid w:val="00B34DA1"/>
    <w:rsid w:val="00B34EA3"/>
    <w:rsid w:val="00B34FF0"/>
    <w:rsid w:val="00B36477"/>
    <w:rsid w:val="00B36844"/>
    <w:rsid w:val="00B369AB"/>
    <w:rsid w:val="00B36C1E"/>
    <w:rsid w:val="00B36E7F"/>
    <w:rsid w:val="00B37911"/>
    <w:rsid w:val="00B37BE8"/>
    <w:rsid w:val="00B37F9B"/>
    <w:rsid w:val="00B400C2"/>
    <w:rsid w:val="00B4043B"/>
    <w:rsid w:val="00B40572"/>
    <w:rsid w:val="00B40AEA"/>
    <w:rsid w:val="00B40CB3"/>
    <w:rsid w:val="00B40E4A"/>
    <w:rsid w:val="00B41792"/>
    <w:rsid w:val="00B425B8"/>
    <w:rsid w:val="00B426FB"/>
    <w:rsid w:val="00B4276B"/>
    <w:rsid w:val="00B42A36"/>
    <w:rsid w:val="00B42E94"/>
    <w:rsid w:val="00B42EEA"/>
    <w:rsid w:val="00B4319E"/>
    <w:rsid w:val="00B4342C"/>
    <w:rsid w:val="00B43A37"/>
    <w:rsid w:val="00B446C3"/>
    <w:rsid w:val="00B44ABD"/>
    <w:rsid w:val="00B44CD0"/>
    <w:rsid w:val="00B44F4C"/>
    <w:rsid w:val="00B44FF9"/>
    <w:rsid w:val="00B450DA"/>
    <w:rsid w:val="00B451B6"/>
    <w:rsid w:val="00B45556"/>
    <w:rsid w:val="00B45C88"/>
    <w:rsid w:val="00B45D40"/>
    <w:rsid w:val="00B45D83"/>
    <w:rsid w:val="00B45FFF"/>
    <w:rsid w:val="00B460A0"/>
    <w:rsid w:val="00B4614F"/>
    <w:rsid w:val="00B46295"/>
    <w:rsid w:val="00B462C0"/>
    <w:rsid w:val="00B464F3"/>
    <w:rsid w:val="00B464FF"/>
    <w:rsid w:val="00B46597"/>
    <w:rsid w:val="00B4677D"/>
    <w:rsid w:val="00B46783"/>
    <w:rsid w:val="00B46AD5"/>
    <w:rsid w:val="00B47132"/>
    <w:rsid w:val="00B4734B"/>
    <w:rsid w:val="00B476FE"/>
    <w:rsid w:val="00B4773F"/>
    <w:rsid w:val="00B47FA4"/>
    <w:rsid w:val="00B50242"/>
    <w:rsid w:val="00B50E27"/>
    <w:rsid w:val="00B50F64"/>
    <w:rsid w:val="00B51555"/>
    <w:rsid w:val="00B516ED"/>
    <w:rsid w:val="00B5187C"/>
    <w:rsid w:val="00B5198D"/>
    <w:rsid w:val="00B51BED"/>
    <w:rsid w:val="00B51E40"/>
    <w:rsid w:val="00B52152"/>
    <w:rsid w:val="00B52382"/>
    <w:rsid w:val="00B524ED"/>
    <w:rsid w:val="00B527B2"/>
    <w:rsid w:val="00B52F4D"/>
    <w:rsid w:val="00B5325D"/>
    <w:rsid w:val="00B53426"/>
    <w:rsid w:val="00B53799"/>
    <w:rsid w:val="00B53A27"/>
    <w:rsid w:val="00B53EEA"/>
    <w:rsid w:val="00B547BF"/>
    <w:rsid w:val="00B548F9"/>
    <w:rsid w:val="00B5515B"/>
    <w:rsid w:val="00B551A2"/>
    <w:rsid w:val="00B55352"/>
    <w:rsid w:val="00B55419"/>
    <w:rsid w:val="00B5541E"/>
    <w:rsid w:val="00B554BB"/>
    <w:rsid w:val="00B55692"/>
    <w:rsid w:val="00B55C11"/>
    <w:rsid w:val="00B56464"/>
    <w:rsid w:val="00B5668C"/>
    <w:rsid w:val="00B5695D"/>
    <w:rsid w:val="00B56A62"/>
    <w:rsid w:val="00B571E7"/>
    <w:rsid w:val="00B57224"/>
    <w:rsid w:val="00B5726A"/>
    <w:rsid w:val="00B574D9"/>
    <w:rsid w:val="00B5755F"/>
    <w:rsid w:val="00B577C8"/>
    <w:rsid w:val="00B57C54"/>
    <w:rsid w:val="00B57D44"/>
    <w:rsid w:val="00B60849"/>
    <w:rsid w:val="00B608BD"/>
    <w:rsid w:val="00B60912"/>
    <w:rsid w:val="00B609E5"/>
    <w:rsid w:val="00B60B0C"/>
    <w:rsid w:val="00B60F42"/>
    <w:rsid w:val="00B616C3"/>
    <w:rsid w:val="00B6198C"/>
    <w:rsid w:val="00B61DD6"/>
    <w:rsid w:val="00B622EE"/>
    <w:rsid w:val="00B6265D"/>
    <w:rsid w:val="00B626B7"/>
    <w:rsid w:val="00B62836"/>
    <w:rsid w:val="00B62B74"/>
    <w:rsid w:val="00B62E3D"/>
    <w:rsid w:val="00B6302B"/>
    <w:rsid w:val="00B63293"/>
    <w:rsid w:val="00B63D5D"/>
    <w:rsid w:val="00B63EED"/>
    <w:rsid w:val="00B63F57"/>
    <w:rsid w:val="00B64094"/>
    <w:rsid w:val="00B64153"/>
    <w:rsid w:val="00B6450F"/>
    <w:rsid w:val="00B649A7"/>
    <w:rsid w:val="00B64E34"/>
    <w:rsid w:val="00B64EF6"/>
    <w:rsid w:val="00B651B6"/>
    <w:rsid w:val="00B65420"/>
    <w:rsid w:val="00B66153"/>
    <w:rsid w:val="00B6653A"/>
    <w:rsid w:val="00B6684D"/>
    <w:rsid w:val="00B66B2F"/>
    <w:rsid w:val="00B66CB4"/>
    <w:rsid w:val="00B6735C"/>
    <w:rsid w:val="00B67ED3"/>
    <w:rsid w:val="00B70938"/>
    <w:rsid w:val="00B70B57"/>
    <w:rsid w:val="00B70B9D"/>
    <w:rsid w:val="00B70CCF"/>
    <w:rsid w:val="00B70F55"/>
    <w:rsid w:val="00B710A2"/>
    <w:rsid w:val="00B719A3"/>
    <w:rsid w:val="00B719A8"/>
    <w:rsid w:val="00B71C6D"/>
    <w:rsid w:val="00B72044"/>
    <w:rsid w:val="00B721B6"/>
    <w:rsid w:val="00B72207"/>
    <w:rsid w:val="00B7257A"/>
    <w:rsid w:val="00B72786"/>
    <w:rsid w:val="00B72819"/>
    <w:rsid w:val="00B72DEE"/>
    <w:rsid w:val="00B72E31"/>
    <w:rsid w:val="00B72FB0"/>
    <w:rsid w:val="00B7315A"/>
    <w:rsid w:val="00B73207"/>
    <w:rsid w:val="00B733EB"/>
    <w:rsid w:val="00B7371B"/>
    <w:rsid w:val="00B739B3"/>
    <w:rsid w:val="00B73A6F"/>
    <w:rsid w:val="00B73B10"/>
    <w:rsid w:val="00B74190"/>
    <w:rsid w:val="00B74382"/>
    <w:rsid w:val="00B74412"/>
    <w:rsid w:val="00B75057"/>
    <w:rsid w:val="00B7506A"/>
    <w:rsid w:val="00B750C1"/>
    <w:rsid w:val="00B7531E"/>
    <w:rsid w:val="00B75441"/>
    <w:rsid w:val="00B754AD"/>
    <w:rsid w:val="00B7582A"/>
    <w:rsid w:val="00B75DA7"/>
    <w:rsid w:val="00B7612D"/>
    <w:rsid w:val="00B7620D"/>
    <w:rsid w:val="00B7627D"/>
    <w:rsid w:val="00B76485"/>
    <w:rsid w:val="00B766AD"/>
    <w:rsid w:val="00B76F1E"/>
    <w:rsid w:val="00B770B9"/>
    <w:rsid w:val="00B7769E"/>
    <w:rsid w:val="00B77813"/>
    <w:rsid w:val="00B77997"/>
    <w:rsid w:val="00B77D60"/>
    <w:rsid w:val="00B77E09"/>
    <w:rsid w:val="00B80DFF"/>
    <w:rsid w:val="00B814D0"/>
    <w:rsid w:val="00B814EA"/>
    <w:rsid w:val="00B81746"/>
    <w:rsid w:val="00B81C1B"/>
    <w:rsid w:val="00B81C74"/>
    <w:rsid w:val="00B81F98"/>
    <w:rsid w:val="00B82AB6"/>
    <w:rsid w:val="00B82F69"/>
    <w:rsid w:val="00B836F5"/>
    <w:rsid w:val="00B8371A"/>
    <w:rsid w:val="00B83B7B"/>
    <w:rsid w:val="00B84491"/>
    <w:rsid w:val="00B844BD"/>
    <w:rsid w:val="00B8454E"/>
    <w:rsid w:val="00B8496F"/>
    <w:rsid w:val="00B84B46"/>
    <w:rsid w:val="00B84C71"/>
    <w:rsid w:val="00B85029"/>
    <w:rsid w:val="00B85228"/>
    <w:rsid w:val="00B855FE"/>
    <w:rsid w:val="00B8564F"/>
    <w:rsid w:val="00B85E16"/>
    <w:rsid w:val="00B8602B"/>
    <w:rsid w:val="00B86237"/>
    <w:rsid w:val="00B86442"/>
    <w:rsid w:val="00B86492"/>
    <w:rsid w:val="00B8671F"/>
    <w:rsid w:val="00B86A69"/>
    <w:rsid w:val="00B86B2C"/>
    <w:rsid w:val="00B86D53"/>
    <w:rsid w:val="00B86FEE"/>
    <w:rsid w:val="00B87996"/>
    <w:rsid w:val="00B906DF"/>
    <w:rsid w:val="00B908B8"/>
    <w:rsid w:val="00B90C17"/>
    <w:rsid w:val="00B90F32"/>
    <w:rsid w:val="00B91037"/>
    <w:rsid w:val="00B91322"/>
    <w:rsid w:val="00B91B04"/>
    <w:rsid w:val="00B92162"/>
    <w:rsid w:val="00B922B5"/>
    <w:rsid w:val="00B92B89"/>
    <w:rsid w:val="00B934E3"/>
    <w:rsid w:val="00B94D4D"/>
    <w:rsid w:val="00B94FBE"/>
    <w:rsid w:val="00B950D5"/>
    <w:rsid w:val="00B9514C"/>
    <w:rsid w:val="00B956C8"/>
    <w:rsid w:val="00B9584F"/>
    <w:rsid w:val="00B95A64"/>
    <w:rsid w:val="00B95FCB"/>
    <w:rsid w:val="00B96035"/>
    <w:rsid w:val="00B965C3"/>
    <w:rsid w:val="00B96C5A"/>
    <w:rsid w:val="00B9725A"/>
    <w:rsid w:val="00B973B8"/>
    <w:rsid w:val="00B9747B"/>
    <w:rsid w:val="00B97B0F"/>
    <w:rsid w:val="00B97F89"/>
    <w:rsid w:val="00BA01B6"/>
    <w:rsid w:val="00BA099A"/>
    <w:rsid w:val="00BA0A41"/>
    <w:rsid w:val="00BA0E69"/>
    <w:rsid w:val="00BA121A"/>
    <w:rsid w:val="00BA1262"/>
    <w:rsid w:val="00BA1936"/>
    <w:rsid w:val="00BA2B66"/>
    <w:rsid w:val="00BA2B83"/>
    <w:rsid w:val="00BA2BF8"/>
    <w:rsid w:val="00BA31F4"/>
    <w:rsid w:val="00BA322B"/>
    <w:rsid w:val="00BA322C"/>
    <w:rsid w:val="00BA3711"/>
    <w:rsid w:val="00BA4389"/>
    <w:rsid w:val="00BA45F1"/>
    <w:rsid w:val="00BA4902"/>
    <w:rsid w:val="00BA4AD8"/>
    <w:rsid w:val="00BA4F07"/>
    <w:rsid w:val="00BA5EFB"/>
    <w:rsid w:val="00BA62DE"/>
    <w:rsid w:val="00BA6850"/>
    <w:rsid w:val="00BA698E"/>
    <w:rsid w:val="00BA6F27"/>
    <w:rsid w:val="00BA70FC"/>
    <w:rsid w:val="00BA75C6"/>
    <w:rsid w:val="00BA7750"/>
    <w:rsid w:val="00BA7772"/>
    <w:rsid w:val="00BA7CF8"/>
    <w:rsid w:val="00BA7EE3"/>
    <w:rsid w:val="00BA7FA7"/>
    <w:rsid w:val="00BB04F6"/>
    <w:rsid w:val="00BB0722"/>
    <w:rsid w:val="00BB084B"/>
    <w:rsid w:val="00BB0950"/>
    <w:rsid w:val="00BB09EC"/>
    <w:rsid w:val="00BB0BEE"/>
    <w:rsid w:val="00BB0D41"/>
    <w:rsid w:val="00BB0E3F"/>
    <w:rsid w:val="00BB12F3"/>
    <w:rsid w:val="00BB179B"/>
    <w:rsid w:val="00BB17E5"/>
    <w:rsid w:val="00BB1A08"/>
    <w:rsid w:val="00BB1BE0"/>
    <w:rsid w:val="00BB1E8A"/>
    <w:rsid w:val="00BB28DB"/>
    <w:rsid w:val="00BB29FE"/>
    <w:rsid w:val="00BB2D21"/>
    <w:rsid w:val="00BB2E6F"/>
    <w:rsid w:val="00BB3693"/>
    <w:rsid w:val="00BB36B1"/>
    <w:rsid w:val="00BB3989"/>
    <w:rsid w:val="00BB3B53"/>
    <w:rsid w:val="00BB4184"/>
    <w:rsid w:val="00BB4542"/>
    <w:rsid w:val="00BB458D"/>
    <w:rsid w:val="00BB4759"/>
    <w:rsid w:val="00BB47F6"/>
    <w:rsid w:val="00BB47F9"/>
    <w:rsid w:val="00BB4801"/>
    <w:rsid w:val="00BB4904"/>
    <w:rsid w:val="00BB4AE8"/>
    <w:rsid w:val="00BB4BFC"/>
    <w:rsid w:val="00BB5132"/>
    <w:rsid w:val="00BB5197"/>
    <w:rsid w:val="00BB519D"/>
    <w:rsid w:val="00BB5C1A"/>
    <w:rsid w:val="00BB5C50"/>
    <w:rsid w:val="00BB618B"/>
    <w:rsid w:val="00BB6207"/>
    <w:rsid w:val="00BB664A"/>
    <w:rsid w:val="00BB66E2"/>
    <w:rsid w:val="00BB6914"/>
    <w:rsid w:val="00BB6A4A"/>
    <w:rsid w:val="00BB6B1A"/>
    <w:rsid w:val="00BB6BA7"/>
    <w:rsid w:val="00BB6BEC"/>
    <w:rsid w:val="00BB6E7A"/>
    <w:rsid w:val="00BB7256"/>
    <w:rsid w:val="00BB7B46"/>
    <w:rsid w:val="00BC000D"/>
    <w:rsid w:val="00BC0FA8"/>
    <w:rsid w:val="00BC10EC"/>
    <w:rsid w:val="00BC1BC3"/>
    <w:rsid w:val="00BC22DC"/>
    <w:rsid w:val="00BC2503"/>
    <w:rsid w:val="00BC2ADE"/>
    <w:rsid w:val="00BC35B2"/>
    <w:rsid w:val="00BC37F6"/>
    <w:rsid w:val="00BC3A4D"/>
    <w:rsid w:val="00BC3B58"/>
    <w:rsid w:val="00BC3BA3"/>
    <w:rsid w:val="00BC3C05"/>
    <w:rsid w:val="00BC428C"/>
    <w:rsid w:val="00BC42EA"/>
    <w:rsid w:val="00BC45D9"/>
    <w:rsid w:val="00BC4898"/>
    <w:rsid w:val="00BC49A8"/>
    <w:rsid w:val="00BC4B99"/>
    <w:rsid w:val="00BC5763"/>
    <w:rsid w:val="00BC62C5"/>
    <w:rsid w:val="00BC66FE"/>
    <w:rsid w:val="00BC691D"/>
    <w:rsid w:val="00BC6B4E"/>
    <w:rsid w:val="00BC6DA8"/>
    <w:rsid w:val="00BC6FBF"/>
    <w:rsid w:val="00BC71DF"/>
    <w:rsid w:val="00BC7985"/>
    <w:rsid w:val="00BC7F4D"/>
    <w:rsid w:val="00BD024A"/>
    <w:rsid w:val="00BD0790"/>
    <w:rsid w:val="00BD0A37"/>
    <w:rsid w:val="00BD0A58"/>
    <w:rsid w:val="00BD1606"/>
    <w:rsid w:val="00BD1915"/>
    <w:rsid w:val="00BD203A"/>
    <w:rsid w:val="00BD242F"/>
    <w:rsid w:val="00BD244C"/>
    <w:rsid w:val="00BD280C"/>
    <w:rsid w:val="00BD346A"/>
    <w:rsid w:val="00BD36E5"/>
    <w:rsid w:val="00BD3767"/>
    <w:rsid w:val="00BD3D6D"/>
    <w:rsid w:val="00BD4388"/>
    <w:rsid w:val="00BD460C"/>
    <w:rsid w:val="00BD4703"/>
    <w:rsid w:val="00BD4F9A"/>
    <w:rsid w:val="00BD5379"/>
    <w:rsid w:val="00BD542A"/>
    <w:rsid w:val="00BD5CB0"/>
    <w:rsid w:val="00BD6163"/>
    <w:rsid w:val="00BD696B"/>
    <w:rsid w:val="00BD6BA3"/>
    <w:rsid w:val="00BD6ED7"/>
    <w:rsid w:val="00BD6FE5"/>
    <w:rsid w:val="00BD72AA"/>
    <w:rsid w:val="00BD737F"/>
    <w:rsid w:val="00BD74C1"/>
    <w:rsid w:val="00BD7542"/>
    <w:rsid w:val="00BD76C2"/>
    <w:rsid w:val="00BD7A8A"/>
    <w:rsid w:val="00BD7C34"/>
    <w:rsid w:val="00BD7F84"/>
    <w:rsid w:val="00BD7FF1"/>
    <w:rsid w:val="00BE1144"/>
    <w:rsid w:val="00BE1BA3"/>
    <w:rsid w:val="00BE1E04"/>
    <w:rsid w:val="00BE2210"/>
    <w:rsid w:val="00BE255E"/>
    <w:rsid w:val="00BE261F"/>
    <w:rsid w:val="00BE277A"/>
    <w:rsid w:val="00BE28B2"/>
    <w:rsid w:val="00BE28DA"/>
    <w:rsid w:val="00BE2A24"/>
    <w:rsid w:val="00BE2B1B"/>
    <w:rsid w:val="00BE2FFD"/>
    <w:rsid w:val="00BE324E"/>
    <w:rsid w:val="00BE3424"/>
    <w:rsid w:val="00BE383A"/>
    <w:rsid w:val="00BE38F7"/>
    <w:rsid w:val="00BE3996"/>
    <w:rsid w:val="00BE413C"/>
    <w:rsid w:val="00BE42B5"/>
    <w:rsid w:val="00BE58B6"/>
    <w:rsid w:val="00BE5E88"/>
    <w:rsid w:val="00BE5F89"/>
    <w:rsid w:val="00BE65BD"/>
    <w:rsid w:val="00BE6610"/>
    <w:rsid w:val="00BE666E"/>
    <w:rsid w:val="00BE67D3"/>
    <w:rsid w:val="00BE6A01"/>
    <w:rsid w:val="00BE6C06"/>
    <w:rsid w:val="00BE6D82"/>
    <w:rsid w:val="00BE7052"/>
    <w:rsid w:val="00BE714A"/>
    <w:rsid w:val="00BE7C62"/>
    <w:rsid w:val="00BE7E95"/>
    <w:rsid w:val="00BF0046"/>
    <w:rsid w:val="00BF0354"/>
    <w:rsid w:val="00BF0779"/>
    <w:rsid w:val="00BF0B9F"/>
    <w:rsid w:val="00BF0E7A"/>
    <w:rsid w:val="00BF164E"/>
    <w:rsid w:val="00BF1820"/>
    <w:rsid w:val="00BF2414"/>
    <w:rsid w:val="00BF2FB3"/>
    <w:rsid w:val="00BF2FDC"/>
    <w:rsid w:val="00BF3235"/>
    <w:rsid w:val="00BF331F"/>
    <w:rsid w:val="00BF3375"/>
    <w:rsid w:val="00BF3BF2"/>
    <w:rsid w:val="00BF4099"/>
    <w:rsid w:val="00BF41F9"/>
    <w:rsid w:val="00BF4467"/>
    <w:rsid w:val="00BF456D"/>
    <w:rsid w:val="00BF487F"/>
    <w:rsid w:val="00BF51F5"/>
    <w:rsid w:val="00BF5B24"/>
    <w:rsid w:val="00BF5E41"/>
    <w:rsid w:val="00BF5F41"/>
    <w:rsid w:val="00BF5FA5"/>
    <w:rsid w:val="00BF631E"/>
    <w:rsid w:val="00BF6385"/>
    <w:rsid w:val="00BF647E"/>
    <w:rsid w:val="00BF64BC"/>
    <w:rsid w:val="00BF6C2D"/>
    <w:rsid w:val="00BF6E0B"/>
    <w:rsid w:val="00BF6F92"/>
    <w:rsid w:val="00BF7789"/>
    <w:rsid w:val="00BF7918"/>
    <w:rsid w:val="00BF7C2E"/>
    <w:rsid w:val="00BF7DA8"/>
    <w:rsid w:val="00C00064"/>
    <w:rsid w:val="00C002B2"/>
    <w:rsid w:val="00C00487"/>
    <w:rsid w:val="00C00544"/>
    <w:rsid w:val="00C007D1"/>
    <w:rsid w:val="00C007EF"/>
    <w:rsid w:val="00C00845"/>
    <w:rsid w:val="00C00873"/>
    <w:rsid w:val="00C008B7"/>
    <w:rsid w:val="00C00A1D"/>
    <w:rsid w:val="00C00DB5"/>
    <w:rsid w:val="00C0132B"/>
    <w:rsid w:val="00C01AA3"/>
    <w:rsid w:val="00C01DFD"/>
    <w:rsid w:val="00C022E9"/>
    <w:rsid w:val="00C02373"/>
    <w:rsid w:val="00C0246E"/>
    <w:rsid w:val="00C02896"/>
    <w:rsid w:val="00C02D71"/>
    <w:rsid w:val="00C02F2D"/>
    <w:rsid w:val="00C03033"/>
    <w:rsid w:val="00C03303"/>
    <w:rsid w:val="00C033F2"/>
    <w:rsid w:val="00C03481"/>
    <w:rsid w:val="00C03484"/>
    <w:rsid w:val="00C039C6"/>
    <w:rsid w:val="00C04033"/>
    <w:rsid w:val="00C04218"/>
    <w:rsid w:val="00C04463"/>
    <w:rsid w:val="00C045DF"/>
    <w:rsid w:val="00C046D5"/>
    <w:rsid w:val="00C04722"/>
    <w:rsid w:val="00C0478A"/>
    <w:rsid w:val="00C04E5A"/>
    <w:rsid w:val="00C051AB"/>
    <w:rsid w:val="00C05379"/>
    <w:rsid w:val="00C05398"/>
    <w:rsid w:val="00C05399"/>
    <w:rsid w:val="00C0561D"/>
    <w:rsid w:val="00C061A8"/>
    <w:rsid w:val="00C062B4"/>
    <w:rsid w:val="00C06445"/>
    <w:rsid w:val="00C0655B"/>
    <w:rsid w:val="00C06635"/>
    <w:rsid w:val="00C066D1"/>
    <w:rsid w:val="00C066FE"/>
    <w:rsid w:val="00C071AA"/>
    <w:rsid w:val="00C072EC"/>
    <w:rsid w:val="00C07A30"/>
    <w:rsid w:val="00C07BDB"/>
    <w:rsid w:val="00C102BB"/>
    <w:rsid w:val="00C108D8"/>
    <w:rsid w:val="00C108E3"/>
    <w:rsid w:val="00C1097C"/>
    <w:rsid w:val="00C111C1"/>
    <w:rsid w:val="00C111E7"/>
    <w:rsid w:val="00C1129F"/>
    <w:rsid w:val="00C115C1"/>
    <w:rsid w:val="00C118F1"/>
    <w:rsid w:val="00C11E25"/>
    <w:rsid w:val="00C1220C"/>
    <w:rsid w:val="00C12431"/>
    <w:rsid w:val="00C12449"/>
    <w:rsid w:val="00C12D17"/>
    <w:rsid w:val="00C13004"/>
    <w:rsid w:val="00C1322C"/>
    <w:rsid w:val="00C1340D"/>
    <w:rsid w:val="00C135B2"/>
    <w:rsid w:val="00C13840"/>
    <w:rsid w:val="00C13941"/>
    <w:rsid w:val="00C139BB"/>
    <w:rsid w:val="00C13D89"/>
    <w:rsid w:val="00C13DAF"/>
    <w:rsid w:val="00C13DB9"/>
    <w:rsid w:val="00C13F8F"/>
    <w:rsid w:val="00C14131"/>
    <w:rsid w:val="00C14281"/>
    <w:rsid w:val="00C14613"/>
    <w:rsid w:val="00C14EC6"/>
    <w:rsid w:val="00C1559F"/>
    <w:rsid w:val="00C156B8"/>
    <w:rsid w:val="00C15A36"/>
    <w:rsid w:val="00C15C76"/>
    <w:rsid w:val="00C15E4B"/>
    <w:rsid w:val="00C15E55"/>
    <w:rsid w:val="00C15E99"/>
    <w:rsid w:val="00C1640A"/>
    <w:rsid w:val="00C164D3"/>
    <w:rsid w:val="00C16648"/>
    <w:rsid w:val="00C16ABE"/>
    <w:rsid w:val="00C16C94"/>
    <w:rsid w:val="00C16D05"/>
    <w:rsid w:val="00C16F24"/>
    <w:rsid w:val="00C17B0C"/>
    <w:rsid w:val="00C17CE3"/>
    <w:rsid w:val="00C17D2C"/>
    <w:rsid w:val="00C17F04"/>
    <w:rsid w:val="00C17F12"/>
    <w:rsid w:val="00C20FD5"/>
    <w:rsid w:val="00C21069"/>
    <w:rsid w:val="00C21142"/>
    <w:rsid w:val="00C21370"/>
    <w:rsid w:val="00C2138E"/>
    <w:rsid w:val="00C215E0"/>
    <w:rsid w:val="00C22041"/>
    <w:rsid w:val="00C220AE"/>
    <w:rsid w:val="00C2218B"/>
    <w:rsid w:val="00C22312"/>
    <w:rsid w:val="00C22323"/>
    <w:rsid w:val="00C22A56"/>
    <w:rsid w:val="00C22A67"/>
    <w:rsid w:val="00C22EBE"/>
    <w:rsid w:val="00C2303E"/>
    <w:rsid w:val="00C2316F"/>
    <w:rsid w:val="00C239EE"/>
    <w:rsid w:val="00C24242"/>
    <w:rsid w:val="00C2429D"/>
    <w:rsid w:val="00C24334"/>
    <w:rsid w:val="00C247B3"/>
    <w:rsid w:val="00C24B25"/>
    <w:rsid w:val="00C24B80"/>
    <w:rsid w:val="00C24CBF"/>
    <w:rsid w:val="00C24CDB"/>
    <w:rsid w:val="00C24EAA"/>
    <w:rsid w:val="00C24FAD"/>
    <w:rsid w:val="00C251EF"/>
    <w:rsid w:val="00C2535B"/>
    <w:rsid w:val="00C26228"/>
    <w:rsid w:val="00C26F1B"/>
    <w:rsid w:val="00C27732"/>
    <w:rsid w:val="00C27899"/>
    <w:rsid w:val="00C27994"/>
    <w:rsid w:val="00C27A4F"/>
    <w:rsid w:val="00C27C9A"/>
    <w:rsid w:val="00C27D36"/>
    <w:rsid w:val="00C316C6"/>
    <w:rsid w:val="00C317B1"/>
    <w:rsid w:val="00C322A1"/>
    <w:rsid w:val="00C322A4"/>
    <w:rsid w:val="00C3291E"/>
    <w:rsid w:val="00C32DDB"/>
    <w:rsid w:val="00C32E6C"/>
    <w:rsid w:val="00C33176"/>
    <w:rsid w:val="00C33397"/>
    <w:rsid w:val="00C33A87"/>
    <w:rsid w:val="00C34126"/>
    <w:rsid w:val="00C34376"/>
    <w:rsid w:val="00C344D7"/>
    <w:rsid w:val="00C346AC"/>
    <w:rsid w:val="00C34BD3"/>
    <w:rsid w:val="00C34CD5"/>
    <w:rsid w:val="00C34E07"/>
    <w:rsid w:val="00C3561E"/>
    <w:rsid w:val="00C35665"/>
    <w:rsid w:val="00C356B0"/>
    <w:rsid w:val="00C359F6"/>
    <w:rsid w:val="00C35AB6"/>
    <w:rsid w:val="00C35E50"/>
    <w:rsid w:val="00C36076"/>
    <w:rsid w:val="00C36C78"/>
    <w:rsid w:val="00C371A9"/>
    <w:rsid w:val="00C37343"/>
    <w:rsid w:val="00C37495"/>
    <w:rsid w:val="00C37877"/>
    <w:rsid w:val="00C37A8D"/>
    <w:rsid w:val="00C37D5C"/>
    <w:rsid w:val="00C37D69"/>
    <w:rsid w:val="00C37DE3"/>
    <w:rsid w:val="00C37EFF"/>
    <w:rsid w:val="00C37F88"/>
    <w:rsid w:val="00C403FD"/>
    <w:rsid w:val="00C40600"/>
    <w:rsid w:val="00C408DA"/>
    <w:rsid w:val="00C41066"/>
    <w:rsid w:val="00C412E3"/>
    <w:rsid w:val="00C41BE1"/>
    <w:rsid w:val="00C41F0B"/>
    <w:rsid w:val="00C420BE"/>
    <w:rsid w:val="00C42289"/>
    <w:rsid w:val="00C42827"/>
    <w:rsid w:val="00C42C6A"/>
    <w:rsid w:val="00C43040"/>
    <w:rsid w:val="00C431DF"/>
    <w:rsid w:val="00C4323E"/>
    <w:rsid w:val="00C43514"/>
    <w:rsid w:val="00C437DE"/>
    <w:rsid w:val="00C43A4F"/>
    <w:rsid w:val="00C43D9F"/>
    <w:rsid w:val="00C43DDB"/>
    <w:rsid w:val="00C43F5A"/>
    <w:rsid w:val="00C44147"/>
    <w:rsid w:val="00C44D41"/>
    <w:rsid w:val="00C44E30"/>
    <w:rsid w:val="00C45786"/>
    <w:rsid w:val="00C45C61"/>
    <w:rsid w:val="00C45CE0"/>
    <w:rsid w:val="00C465A8"/>
    <w:rsid w:val="00C46660"/>
    <w:rsid w:val="00C467B0"/>
    <w:rsid w:val="00C46875"/>
    <w:rsid w:val="00C46AA2"/>
    <w:rsid w:val="00C46CD3"/>
    <w:rsid w:val="00C46FF9"/>
    <w:rsid w:val="00C47342"/>
    <w:rsid w:val="00C4742D"/>
    <w:rsid w:val="00C477D6"/>
    <w:rsid w:val="00C47AC4"/>
    <w:rsid w:val="00C47C4E"/>
    <w:rsid w:val="00C47DD8"/>
    <w:rsid w:val="00C47ED5"/>
    <w:rsid w:val="00C47FBD"/>
    <w:rsid w:val="00C5034A"/>
    <w:rsid w:val="00C506AA"/>
    <w:rsid w:val="00C5078C"/>
    <w:rsid w:val="00C508C9"/>
    <w:rsid w:val="00C50A0D"/>
    <w:rsid w:val="00C50B7A"/>
    <w:rsid w:val="00C50BD8"/>
    <w:rsid w:val="00C51204"/>
    <w:rsid w:val="00C5129E"/>
    <w:rsid w:val="00C51474"/>
    <w:rsid w:val="00C516D9"/>
    <w:rsid w:val="00C518BB"/>
    <w:rsid w:val="00C5280F"/>
    <w:rsid w:val="00C52ED6"/>
    <w:rsid w:val="00C53207"/>
    <w:rsid w:val="00C534F3"/>
    <w:rsid w:val="00C54417"/>
    <w:rsid w:val="00C5462B"/>
    <w:rsid w:val="00C5482C"/>
    <w:rsid w:val="00C54F12"/>
    <w:rsid w:val="00C55252"/>
    <w:rsid w:val="00C552C4"/>
    <w:rsid w:val="00C55395"/>
    <w:rsid w:val="00C5557F"/>
    <w:rsid w:val="00C55878"/>
    <w:rsid w:val="00C55BE8"/>
    <w:rsid w:val="00C55D48"/>
    <w:rsid w:val="00C56408"/>
    <w:rsid w:val="00C56A7F"/>
    <w:rsid w:val="00C56B4C"/>
    <w:rsid w:val="00C56C90"/>
    <w:rsid w:val="00C56DFA"/>
    <w:rsid w:val="00C5767A"/>
    <w:rsid w:val="00C576F0"/>
    <w:rsid w:val="00C57A43"/>
    <w:rsid w:val="00C57D06"/>
    <w:rsid w:val="00C57EC4"/>
    <w:rsid w:val="00C60368"/>
    <w:rsid w:val="00C6051A"/>
    <w:rsid w:val="00C60C13"/>
    <w:rsid w:val="00C61315"/>
    <w:rsid w:val="00C61642"/>
    <w:rsid w:val="00C61FD2"/>
    <w:rsid w:val="00C62288"/>
    <w:rsid w:val="00C6253E"/>
    <w:rsid w:val="00C6276C"/>
    <w:rsid w:val="00C62A26"/>
    <w:rsid w:val="00C62B48"/>
    <w:rsid w:val="00C63260"/>
    <w:rsid w:val="00C635B6"/>
    <w:rsid w:val="00C638C4"/>
    <w:rsid w:val="00C63FDB"/>
    <w:rsid w:val="00C64388"/>
    <w:rsid w:val="00C6441D"/>
    <w:rsid w:val="00C644D0"/>
    <w:rsid w:val="00C64AB3"/>
    <w:rsid w:val="00C64B91"/>
    <w:rsid w:val="00C64C68"/>
    <w:rsid w:val="00C651A8"/>
    <w:rsid w:val="00C656E8"/>
    <w:rsid w:val="00C656FD"/>
    <w:rsid w:val="00C65809"/>
    <w:rsid w:val="00C65CC6"/>
    <w:rsid w:val="00C66554"/>
    <w:rsid w:val="00C66665"/>
    <w:rsid w:val="00C66795"/>
    <w:rsid w:val="00C667A3"/>
    <w:rsid w:val="00C6719E"/>
    <w:rsid w:val="00C672A3"/>
    <w:rsid w:val="00C672DC"/>
    <w:rsid w:val="00C67A56"/>
    <w:rsid w:val="00C67E89"/>
    <w:rsid w:val="00C71469"/>
    <w:rsid w:val="00C7157D"/>
    <w:rsid w:val="00C71BBE"/>
    <w:rsid w:val="00C72187"/>
    <w:rsid w:val="00C7264C"/>
    <w:rsid w:val="00C731C9"/>
    <w:rsid w:val="00C7327E"/>
    <w:rsid w:val="00C73281"/>
    <w:rsid w:val="00C739DF"/>
    <w:rsid w:val="00C73BA0"/>
    <w:rsid w:val="00C74768"/>
    <w:rsid w:val="00C74B04"/>
    <w:rsid w:val="00C76135"/>
    <w:rsid w:val="00C764AA"/>
    <w:rsid w:val="00C77009"/>
    <w:rsid w:val="00C77028"/>
    <w:rsid w:val="00C7714F"/>
    <w:rsid w:val="00C77338"/>
    <w:rsid w:val="00C7755B"/>
    <w:rsid w:val="00C776C7"/>
    <w:rsid w:val="00C776D1"/>
    <w:rsid w:val="00C808FE"/>
    <w:rsid w:val="00C80AB9"/>
    <w:rsid w:val="00C80E5F"/>
    <w:rsid w:val="00C812E7"/>
    <w:rsid w:val="00C81E1F"/>
    <w:rsid w:val="00C8259B"/>
    <w:rsid w:val="00C825D3"/>
    <w:rsid w:val="00C825E0"/>
    <w:rsid w:val="00C8262C"/>
    <w:rsid w:val="00C827A9"/>
    <w:rsid w:val="00C82978"/>
    <w:rsid w:val="00C83488"/>
    <w:rsid w:val="00C8349E"/>
    <w:rsid w:val="00C835D5"/>
    <w:rsid w:val="00C83C3A"/>
    <w:rsid w:val="00C83C53"/>
    <w:rsid w:val="00C83E77"/>
    <w:rsid w:val="00C84221"/>
    <w:rsid w:val="00C8446B"/>
    <w:rsid w:val="00C8458F"/>
    <w:rsid w:val="00C8591E"/>
    <w:rsid w:val="00C85D1C"/>
    <w:rsid w:val="00C86089"/>
    <w:rsid w:val="00C870A8"/>
    <w:rsid w:val="00C872EE"/>
    <w:rsid w:val="00C87660"/>
    <w:rsid w:val="00C87832"/>
    <w:rsid w:val="00C8795D"/>
    <w:rsid w:val="00C87964"/>
    <w:rsid w:val="00C87989"/>
    <w:rsid w:val="00C87B9F"/>
    <w:rsid w:val="00C87D2F"/>
    <w:rsid w:val="00C90159"/>
    <w:rsid w:val="00C901C5"/>
    <w:rsid w:val="00C902DC"/>
    <w:rsid w:val="00C90ADC"/>
    <w:rsid w:val="00C90C2B"/>
    <w:rsid w:val="00C91678"/>
    <w:rsid w:val="00C91828"/>
    <w:rsid w:val="00C91A43"/>
    <w:rsid w:val="00C91F61"/>
    <w:rsid w:val="00C91FEC"/>
    <w:rsid w:val="00C92A66"/>
    <w:rsid w:val="00C92C1A"/>
    <w:rsid w:val="00C92C20"/>
    <w:rsid w:val="00C9311B"/>
    <w:rsid w:val="00C93149"/>
    <w:rsid w:val="00C93153"/>
    <w:rsid w:val="00C933B6"/>
    <w:rsid w:val="00C936D8"/>
    <w:rsid w:val="00C93BAE"/>
    <w:rsid w:val="00C93C1F"/>
    <w:rsid w:val="00C93CCB"/>
    <w:rsid w:val="00C941A5"/>
    <w:rsid w:val="00C9449C"/>
    <w:rsid w:val="00C9470E"/>
    <w:rsid w:val="00C94982"/>
    <w:rsid w:val="00C94A95"/>
    <w:rsid w:val="00C94F86"/>
    <w:rsid w:val="00C95055"/>
    <w:rsid w:val="00C952B4"/>
    <w:rsid w:val="00C95506"/>
    <w:rsid w:val="00C95555"/>
    <w:rsid w:val="00C95606"/>
    <w:rsid w:val="00C95858"/>
    <w:rsid w:val="00C95917"/>
    <w:rsid w:val="00C96012"/>
    <w:rsid w:val="00C96082"/>
    <w:rsid w:val="00C96088"/>
    <w:rsid w:val="00C961C5"/>
    <w:rsid w:val="00C961E4"/>
    <w:rsid w:val="00C962F3"/>
    <w:rsid w:val="00C9684A"/>
    <w:rsid w:val="00C96CC8"/>
    <w:rsid w:val="00C96D15"/>
    <w:rsid w:val="00C971FB"/>
    <w:rsid w:val="00C97355"/>
    <w:rsid w:val="00C973DA"/>
    <w:rsid w:val="00C978E8"/>
    <w:rsid w:val="00C97AAF"/>
    <w:rsid w:val="00C97AB7"/>
    <w:rsid w:val="00C97CDA"/>
    <w:rsid w:val="00C97EC8"/>
    <w:rsid w:val="00CA04B9"/>
    <w:rsid w:val="00CA0874"/>
    <w:rsid w:val="00CA10F1"/>
    <w:rsid w:val="00CA115A"/>
    <w:rsid w:val="00CA13A3"/>
    <w:rsid w:val="00CA13DD"/>
    <w:rsid w:val="00CA1831"/>
    <w:rsid w:val="00CA195B"/>
    <w:rsid w:val="00CA1A01"/>
    <w:rsid w:val="00CA1B15"/>
    <w:rsid w:val="00CA1CA4"/>
    <w:rsid w:val="00CA21BD"/>
    <w:rsid w:val="00CA29B4"/>
    <w:rsid w:val="00CA29FA"/>
    <w:rsid w:val="00CA2B63"/>
    <w:rsid w:val="00CA2B70"/>
    <w:rsid w:val="00CA3210"/>
    <w:rsid w:val="00CA383B"/>
    <w:rsid w:val="00CA3987"/>
    <w:rsid w:val="00CA42F5"/>
    <w:rsid w:val="00CA4D13"/>
    <w:rsid w:val="00CA4E1A"/>
    <w:rsid w:val="00CA5433"/>
    <w:rsid w:val="00CA564D"/>
    <w:rsid w:val="00CA5FD6"/>
    <w:rsid w:val="00CA6726"/>
    <w:rsid w:val="00CA689C"/>
    <w:rsid w:val="00CA6D6F"/>
    <w:rsid w:val="00CA6F88"/>
    <w:rsid w:val="00CA6FB4"/>
    <w:rsid w:val="00CA70B0"/>
    <w:rsid w:val="00CA70C6"/>
    <w:rsid w:val="00CA72E4"/>
    <w:rsid w:val="00CA7A88"/>
    <w:rsid w:val="00CA7F50"/>
    <w:rsid w:val="00CB02C6"/>
    <w:rsid w:val="00CB06FD"/>
    <w:rsid w:val="00CB0702"/>
    <w:rsid w:val="00CB07E9"/>
    <w:rsid w:val="00CB09D6"/>
    <w:rsid w:val="00CB0D82"/>
    <w:rsid w:val="00CB0DD0"/>
    <w:rsid w:val="00CB0DDD"/>
    <w:rsid w:val="00CB0E6A"/>
    <w:rsid w:val="00CB1487"/>
    <w:rsid w:val="00CB153D"/>
    <w:rsid w:val="00CB1569"/>
    <w:rsid w:val="00CB1755"/>
    <w:rsid w:val="00CB1973"/>
    <w:rsid w:val="00CB1A64"/>
    <w:rsid w:val="00CB1EDF"/>
    <w:rsid w:val="00CB24B6"/>
    <w:rsid w:val="00CB25E2"/>
    <w:rsid w:val="00CB2791"/>
    <w:rsid w:val="00CB300D"/>
    <w:rsid w:val="00CB31A0"/>
    <w:rsid w:val="00CB31E7"/>
    <w:rsid w:val="00CB33DE"/>
    <w:rsid w:val="00CB34BA"/>
    <w:rsid w:val="00CB3658"/>
    <w:rsid w:val="00CB38D6"/>
    <w:rsid w:val="00CB3AAC"/>
    <w:rsid w:val="00CB41CA"/>
    <w:rsid w:val="00CB452C"/>
    <w:rsid w:val="00CB4969"/>
    <w:rsid w:val="00CB4AC0"/>
    <w:rsid w:val="00CB5121"/>
    <w:rsid w:val="00CB54C5"/>
    <w:rsid w:val="00CB54F3"/>
    <w:rsid w:val="00CB5562"/>
    <w:rsid w:val="00CB5868"/>
    <w:rsid w:val="00CB590A"/>
    <w:rsid w:val="00CB60BA"/>
    <w:rsid w:val="00CB67D9"/>
    <w:rsid w:val="00CB6AA3"/>
    <w:rsid w:val="00CB6C56"/>
    <w:rsid w:val="00CB6CC8"/>
    <w:rsid w:val="00CB7654"/>
    <w:rsid w:val="00CB7D73"/>
    <w:rsid w:val="00CC0389"/>
    <w:rsid w:val="00CC0511"/>
    <w:rsid w:val="00CC09B5"/>
    <w:rsid w:val="00CC0A6C"/>
    <w:rsid w:val="00CC11DF"/>
    <w:rsid w:val="00CC1A63"/>
    <w:rsid w:val="00CC1A7A"/>
    <w:rsid w:val="00CC1BBF"/>
    <w:rsid w:val="00CC1C79"/>
    <w:rsid w:val="00CC1DE1"/>
    <w:rsid w:val="00CC1FD1"/>
    <w:rsid w:val="00CC24F9"/>
    <w:rsid w:val="00CC2551"/>
    <w:rsid w:val="00CC258F"/>
    <w:rsid w:val="00CC27C7"/>
    <w:rsid w:val="00CC2D04"/>
    <w:rsid w:val="00CC2F6E"/>
    <w:rsid w:val="00CC342E"/>
    <w:rsid w:val="00CC365B"/>
    <w:rsid w:val="00CC369C"/>
    <w:rsid w:val="00CC3931"/>
    <w:rsid w:val="00CC3BAC"/>
    <w:rsid w:val="00CC3C73"/>
    <w:rsid w:val="00CC3CBC"/>
    <w:rsid w:val="00CC40B2"/>
    <w:rsid w:val="00CC4544"/>
    <w:rsid w:val="00CC48A9"/>
    <w:rsid w:val="00CC4F11"/>
    <w:rsid w:val="00CC54BA"/>
    <w:rsid w:val="00CC55DD"/>
    <w:rsid w:val="00CC5672"/>
    <w:rsid w:val="00CC5693"/>
    <w:rsid w:val="00CC5D61"/>
    <w:rsid w:val="00CC60E8"/>
    <w:rsid w:val="00CC67D1"/>
    <w:rsid w:val="00CC789B"/>
    <w:rsid w:val="00CC78BC"/>
    <w:rsid w:val="00CC7CBC"/>
    <w:rsid w:val="00CC7DF1"/>
    <w:rsid w:val="00CD07B1"/>
    <w:rsid w:val="00CD0AE4"/>
    <w:rsid w:val="00CD0CA2"/>
    <w:rsid w:val="00CD0DC1"/>
    <w:rsid w:val="00CD0DDD"/>
    <w:rsid w:val="00CD0F3D"/>
    <w:rsid w:val="00CD0F76"/>
    <w:rsid w:val="00CD102C"/>
    <w:rsid w:val="00CD13BD"/>
    <w:rsid w:val="00CD1438"/>
    <w:rsid w:val="00CD2194"/>
    <w:rsid w:val="00CD28E5"/>
    <w:rsid w:val="00CD29CE"/>
    <w:rsid w:val="00CD2D7D"/>
    <w:rsid w:val="00CD2DCF"/>
    <w:rsid w:val="00CD331D"/>
    <w:rsid w:val="00CD3717"/>
    <w:rsid w:val="00CD38A4"/>
    <w:rsid w:val="00CD3C04"/>
    <w:rsid w:val="00CD46EB"/>
    <w:rsid w:val="00CD4A41"/>
    <w:rsid w:val="00CD4B7D"/>
    <w:rsid w:val="00CD5408"/>
    <w:rsid w:val="00CD55F3"/>
    <w:rsid w:val="00CD5635"/>
    <w:rsid w:val="00CD585B"/>
    <w:rsid w:val="00CD586B"/>
    <w:rsid w:val="00CD5E2C"/>
    <w:rsid w:val="00CD62DC"/>
    <w:rsid w:val="00CD64F0"/>
    <w:rsid w:val="00CD725B"/>
    <w:rsid w:val="00CD73E8"/>
    <w:rsid w:val="00CD76AD"/>
    <w:rsid w:val="00CD787E"/>
    <w:rsid w:val="00CD7A5A"/>
    <w:rsid w:val="00CD7C4E"/>
    <w:rsid w:val="00CE0796"/>
    <w:rsid w:val="00CE10D6"/>
    <w:rsid w:val="00CE169A"/>
    <w:rsid w:val="00CE1B47"/>
    <w:rsid w:val="00CE1D88"/>
    <w:rsid w:val="00CE2586"/>
    <w:rsid w:val="00CE2FB2"/>
    <w:rsid w:val="00CE35BE"/>
    <w:rsid w:val="00CE373C"/>
    <w:rsid w:val="00CE3F05"/>
    <w:rsid w:val="00CE41E8"/>
    <w:rsid w:val="00CE4842"/>
    <w:rsid w:val="00CE4917"/>
    <w:rsid w:val="00CE5351"/>
    <w:rsid w:val="00CE5421"/>
    <w:rsid w:val="00CE5573"/>
    <w:rsid w:val="00CE5848"/>
    <w:rsid w:val="00CE5A98"/>
    <w:rsid w:val="00CE5C03"/>
    <w:rsid w:val="00CE6885"/>
    <w:rsid w:val="00CE68B7"/>
    <w:rsid w:val="00CE6942"/>
    <w:rsid w:val="00CE6DF2"/>
    <w:rsid w:val="00CE7054"/>
    <w:rsid w:val="00CE7063"/>
    <w:rsid w:val="00CE7431"/>
    <w:rsid w:val="00CF0433"/>
    <w:rsid w:val="00CF05CB"/>
    <w:rsid w:val="00CF0750"/>
    <w:rsid w:val="00CF093B"/>
    <w:rsid w:val="00CF094D"/>
    <w:rsid w:val="00CF0D18"/>
    <w:rsid w:val="00CF0DA9"/>
    <w:rsid w:val="00CF11EB"/>
    <w:rsid w:val="00CF122D"/>
    <w:rsid w:val="00CF125E"/>
    <w:rsid w:val="00CF132E"/>
    <w:rsid w:val="00CF1837"/>
    <w:rsid w:val="00CF1A77"/>
    <w:rsid w:val="00CF1C95"/>
    <w:rsid w:val="00CF24C9"/>
    <w:rsid w:val="00CF25E3"/>
    <w:rsid w:val="00CF2635"/>
    <w:rsid w:val="00CF2751"/>
    <w:rsid w:val="00CF291F"/>
    <w:rsid w:val="00CF2B39"/>
    <w:rsid w:val="00CF3886"/>
    <w:rsid w:val="00CF3A39"/>
    <w:rsid w:val="00CF40F8"/>
    <w:rsid w:val="00CF439A"/>
    <w:rsid w:val="00CF496A"/>
    <w:rsid w:val="00CF4BAD"/>
    <w:rsid w:val="00CF4DFE"/>
    <w:rsid w:val="00CF4EEE"/>
    <w:rsid w:val="00CF4F76"/>
    <w:rsid w:val="00CF55DD"/>
    <w:rsid w:val="00CF567C"/>
    <w:rsid w:val="00CF5BFF"/>
    <w:rsid w:val="00CF5C1C"/>
    <w:rsid w:val="00CF68A0"/>
    <w:rsid w:val="00CF6953"/>
    <w:rsid w:val="00CF6C75"/>
    <w:rsid w:val="00CF6E2D"/>
    <w:rsid w:val="00CF7213"/>
    <w:rsid w:val="00CF762C"/>
    <w:rsid w:val="00CF7C32"/>
    <w:rsid w:val="00D0026B"/>
    <w:rsid w:val="00D003D9"/>
    <w:rsid w:val="00D00739"/>
    <w:rsid w:val="00D0077C"/>
    <w:rsid w:val="00D0093A"/>
    <w:rsid w:val="00D00C5D"/>
    <w:rsid w:val="00D015EC"/>
    <w:rsid w:val="00D01673"/>
    <w:rsid w:val="00D0177D"/>
    <w:rsid w:val="00D01E6A"/>
    <w:rsid w:val="00D025A8"/>
    <w:rsid w:val="00D026B4"/>
    <w:rsid w:val="00D02D4A"/>
    <w:rsid w:val="00D02EE0"/>
    <w:rsid w:val="00D0460E"/>
    <w:rsid w:val="00D04C90"/>
    <w:rsid w:val="00D04DE2"/>
    <w:rsid w:val="00D051C9"/>
    <w:rsid w:val="00D052B9"/>
    <w:rsid w:val="00D054F6"/>
    <w:rsid w:val="00D0561E"/>
    <w:rsid w:val="00D0588C"/>
    <w:rsid w:val="00D05BE3"/>
    <w:rsid w:val="00D05E23"/>
    <w:rsid w:val="00D06052"/>
    <w:rsid w:val="00D060D6"/>
    <w:rsid w:val="00D061E4"/>
    <w:rsid w:val="00D0657D"/>
    <w:rsid w:val="00D06873"/>
    <w:rsid w:val="00D068D9"/>
    <w:rsid w:val="00D068F8"/>
    <w:rsid w:val="00D06D67"/>
    <w:rsid w:val="00D0793E"/>
    <w:rsid w:val="00D07A15"/>
    <w:rsid w:val="00D07AAB"/>
    <w:rsid w:val="00D07CF8"/>
    <w:rsid w:val="00D10476"/>
    <w:rsid w:val="00D104DF"/>
    <w:rsid w:val="00D10993"/>
    <w:rsid w:val="00D11555"/>
    <w:rsid w:val="00D116AC"/>
    <w:rsid w:val="00D11BC9"/>
    <w:rsid w:val="00D11E9C"/>
    <w:rsid w:val="00D11F46"/>
    <w:rsid w:val="00D11F6B"/>
    <w:rsid w:val="00D12883"/>
    <w:rsid w:val="00D142A3"/>
    <w:rsid w:val="00D14359"/>
    <w:rsid w:val="00D1471D"/>
    <w:rsid w:val="00D14EEC"/>
    <w:rsid w:val="00D155D6"/>
    <w:rsid w:val="00D15C61"/>
    <w:rsid w:val="00D162FA"/>
    <w:rsid w:val="00D16315"/>
    <w:rsid w:val="00D167B3"/>
    <w:rsid w:val="00D16D3F"/>
    <w:rsid w:val="00D16E3C"/>
    <w:rsid w:val="00D1714C"/>
    <w:rsid w:val="00D1715B"/>
    <w:rsid w:val="00D171B0"/>
    <w:rsid w:val="00D177FF"/>
    <w:rsid w:val="00D2043C"/>
    <w:rsid w:val="00D20915"/>
    <w:rsid w:val="00D20A4C"/>
    <w:rsid w:val="00D222B3"/>
    <w:rsid w:val="00D22777"/>
    <w:rsid w:val="00D22797"/>
    <w:rsid w:val="00D229C4"/>
    <w:rsid w:val="00D22B44"/>
    <w:rsid w:val="00D22C51"/>
    <w:rsid w:val="00D22DBF"/>
    <w:rsid w:val="00D22F8F"/>
    <w:rsid w:val="00D23119"/>
    <w:rsid w:val="00D2321F"/>
    <w:rsid w:val="00D23662"/>
    <w:rsid w:val="00D2372B"/>
    <w:rsid w:val="00D237E0"/>
    <w:rsid w:val="00D238CD"/>
    <w:rsid w:val="00D23A73"/>
    <w:rsid w:val="00D24868"/>
    <w:rsid w:val="00D248D3"/>
    <w:rsid w:val="00D24AA6"/>
    <w:rsid w:val="00D24AF2"/>
    <w:rsid w:val="00D24E29"/>
    <w:rsid w:val="00D251EA"/>
    <w:rsid w:val="00D251F9"/>
    <w:rsid w:val="00D252C3"/>
    <w:rsid w:val="00D2568F"/>
    <w:rsid w:val="00D25AC9"/>
    <w:rsid w:val="00D25BB2"/>
    <w:rsid w:val="00D2634E"/>
    <w:rsid w:val="00D263E7"/>
    <w:rsid w:val="00D26A51"/>
    <w:rsid w:val="00D26D3E"/>
    <w:rsid w:val="00D26E64"/>
    <w:rsid w:val="00D26EBF"/>
    <w:rsid w:val="00D26ED0"/>
    <w:rsid w:val="00D26F97"/>
    <w:rsid w:val="00D2771D"/>
    <w:rsid w:val="00D27976"/>
    <w:rsid w:val="00D27C41"/>
    <w:rsid w:val="00D27D49"/>
    <w:rsid w:val="00D301B3"/>
    <w:rsid w:val="00D305CD"/>
    <w:rsid w:val="00D31377"/>
    <w:rsid w:val="00D313A7"/>
    <w:rsid w:val="00D3193A"/>
    <w:rsid w:val="00D31C37"/>
    <w:rsid w:val="00D31F79"/>
    <w:rsid w:val="00D32078"/>
    <w:rsid w:val="00D3221C"/>
    <w:rsid w:val="00D338A6"/>
    <w:rsid w:val="00D33F8B"/>
    <w:rsid w:val="00D3401D"/>
    <w:rsid w:val="00D34933"/>
    <w:rsid w:val="00D34964"/>
    <w:rsid w:val="00D34B52"/>
    <w:rsid w:val="00D34E74"/>
    <w:rsid w:val="00D3503B"/>
    <w:rsid w:val="00D3505C"/>
    <w:rsid w:val="00D351E9"/>
    <w:rsid w:val="00D35299"/>
    <w:rsid w:val="00D35314"/>
    <w:rsid w:val="00D35340"/>
    <w:rsid w:val="00D355E7"/>
    <w:rsid w:val="00D35AF8"/>
    <w:rsid w:val="00D35DAF"/>
    <w:rsid w:val="00D36467"/>
    <w:rsid w:val="00D365FC"/>
    <w:rsid w:val="00D3673C"/>
    <w:rsid w:val="00D367DB"/>
    <w:rsid w:val="00D376B4"/>
    <w:rsid w:val="00D3773B"/>
    <w:rsid w:val="00D377A3"/>
    <w:rsid w:val="00D3797C"/>
    <w:rsid w:val="00D379D1"/>
    <w:rsid w:val="00D4007D"/>
    <w:rsid w:val="00D406D9"/>
    <w:rsid w:val="00D40D68"/>
    <w:rsid w:val="00D41095"/>
    <w:rsid w:val="00D410AE"/>
    <w:rsid w:val="00D41D1F"/>
    <w:rsid w:val="00D421E7"/>
    <w:rsid w:val="00D423D4"/>
    <w:rsid w:val="00D425E0"/>
    <w:rsid w:val="00D42B12"/>
    <w:rsid w:val="00D42BCB"/>
    <w:rsid w:val="00D435DF"/>
    <w:rsid w:val="00D43699"/>
    <w:rsid w:val="00D43B25"/>
    <w:rsid w:val="00D44567"/>
    <w:rsid w:val="00D44863"/>
    <w:rsid w:val="00D448E8"/>
    <w:rsid w:val="00D44C79"/>
    <w:rsid w:val="00D45720"/>
    <w:rsid w:val="00D45A11"/>
    <w:rsid w:val="00D45AA6"/>
    <w:rsid w:val="00D45DF7"/>
    <w:rsid w:val="00D45E27"/>
    <w:rsid w:val="00D45F1D"/>
    <w:rsid w:val="00D460CD"/>
    <w:rsid w:val="00D4693A"/>
    <w:rsid w:val="00D46C58"/>
    <w:rsid w:val="00D46DD7"/>
    <w:rsid w:val="00D47257"/>
    <w:rsid w:val="00D473A7"/>
    <w:rsid w:val="00D474B6"/>
    <w:rsid w:val="00D47963"/>
    <w:rsid w:val="00D47D86"/>
    <w:rsid w:val="00D47DB6"/>
    <w:rsid w:val="00D47E06"/>
    <w:rsid w:val="00D47F77"/>
    <w:rsid w:val="00D5052C"/>
    <w:rsid w:val="00D5054F"/>
    <w:rsid w:val="00D505DC"/>
    <w:rsid w:val="00D508E5"/>
    <w:rsid w:val="00D50F1D"/>
    <w:rsid w:val="00D50F7A"/>
    <w:rsid w:val="00D513FB"/>
    <w:rsid w:val="00D51427"/>
    <w:rsid w:val="00D517E7"/>
    <w:rsid w:val="00D5194C"/>
    <w:rsid w:val="00D519D0"/>
    <w:rsid w:val="00D519EC"/>
    <w:rsid w:val="00D51DAE"/>
    <w:rsid w:val="00D51E0E"/>
    <w:rsid w:val="00D51E45"/>
    <w:rsid w:val="00D51E87"/>
    <w:rsid w:val="00D52181"/>
    <w:rsid w:val="00D52217"/>
    <w:rsid w:val="00D52C0B"/>
    <w:rsid w:val="00D52F6C"/>
    <w:rsid w:val="00D53398"/>
    <w:rsid w:val="00D53682"/>
    <w:rsid w:val="00D538D6"/>
    <w:rsid w:val="00D53F94"/>
    <w:rsid w:val="00D54852"/>
    <w:rsid w:val="00D549D2"/>
    <w:rsid w:val="00D54D2C"/>
    <w:rsid w:val="00D54E96"/>
    <w:rsid w:val="00D55197"/>
    <w:rsid w:val="00D551F7"/>
    <w:rsid w:val="00D554C5"/>
    <w:rsid w:val="00D5568E"/>
    <w:rsid w:val="00D55C1B"/>
    <w:rsid w:val="00D55D2F"/>
    <w:rsid w:val="00D55EC8"/>
    <w:rsid w:val="00D560F8"/>
    <w:rsid w:val="00D562F3"/>
    <w:rsid w:val="00D56521"/>
    <w:rsid w:val="00D56674"/>
    <w:rsid w:val="00D56715"/>
    <w:rsid w:val="00D56D60"/>
    <w:rsid w:val="00D57044"/>
    <w:rsid w:val="00D57150"/>
    <w:rsid w:val="00D571D1"/>
    <w:rsid w:val="00D571E2"/>
    <w:rsid w:val="00D57397"/>
    <w:rsid w:val="00D57BD8"/>
    <w:rsid w:val="00D57BFE"/>
    <w:rsid w:val="00D57D55"/>
    <w:rsid w:val="00D57D56"/>
    <w:rsid w:val="00D601D3"/>
    <w:rsid w:val="00D604C8"/>
    <w:rsid w:val="00D60C14"/>
    <w:rsid w:val="00D60D5A"/>
    <w:rsid w:val="00D60F8C"/>
    <w:rsid w:val="00D610C2"/>
    <w:rsid w:val="00D61286"/>
    <w:rsid w:val="00D614A5"/>
    <w:rsid w:val="00D61789"/>
    <w:rsid w:val="00D61AAC"/>
    <w:rsid w:val="00D61DE0"/>
    <w:rsid w:val="00D620B6"/>
    <w:rsid w:val="00D627A0"/>
    <w:rsid w:val="00D6285A"/>
    <w:rsid w:val="00D62863"/>
    <w:rsid w:val="00D628BE"/>
    <w:rsid w:val="00D62C96"/>
    <w:rsid w:val="00D62E38"/>
    <w:rsid w:val="00D62FB9"/>
    <w:rsid w:val="00D6318E"/>
    <w:rsid w:val="00D63750"/>
    <w:rsid w:val="00D63B74"/>
    <w:rsid w:val="00D63BC6"/>
    <w:rsid w:val="00D63D94"/>
    <w:rsid w:val="00D63F58"/>
    <w:rsid w:val="00D6400F"/>
    <w:rsid w:val="00D6428E"/>
    <w:rsid w:val="00D643E8"/>
    <w:rsid w:val="00D646AF"/>
    <w:rsid w:val="00D64A36"/>
    <w:rsid w:val="00D64B71"/>
    <w:rsid w:val="00D64EFD"/>
    <w:rsid w:val="00D64FB1"/>
    <w:rsid w:val="00D65498"/>
    <w:rsid w:val="00D65562"/>
    <w:rsid w:val="00D656DD"/>
    <w:rsid w:val="00D65749"/>
    <w:rsid w:val="00D657A7"/>
    <w:rsid w:val="00D65A06"/>
    <w:rsid w:val="00D65AC7"/>
    <w:rsid w:val="00D65E3C"/>
    <w:rsid w:val="00D65E7E"/>
    <w:rsid w:val="00D6606E"/>
    <w:rsid w:val="00D660A9"/>
    <w:rsid w:val="00D66553"/>
    <w:rsid w:val="00D66E1E"/>
    <w:rsid w:val="00D672F7"/>
    <w:rsid w:val="00D678F9"/>
    <w:rsid w:val="00D67A0C"/>
    <w:rsid w:val="00D70140"/>
    <w:rsid w:val="00D701CC"/>
    <w:rsid w:val="00D7046C"/>
    <w:rsid w:val="00D7087A"/>
    <w:rsid w:val="00D70D11"/>
    <w:rsid w:val="00D70F90"/>
    <w:rsid w:val="00D710A1"/>
    <w:rsid w:val="00D71A0B"/>
    <w:rsid w:val="00D71EE1"/>
    <w:rsid w:val="00D71F7E"/>
    <w:rsid w:val="00D722CB"/>
    <w:rsid w:val="00D72846"/>
    <w:rsid w:val="00D72A2A"/>
    <w:rsid w:val="00D72CC7"/>
    <w:rsid w:val="00D72E39"/>
    <w:rsid w:val="00D7324B"/>
    <w:rsid w:val="00D7348B"/>
    <w:rsid w:val="00D73884"/>
    <w:rsid w:val="00D7388C"/>
    <w:rsid w:val="00D73930"/>
    <w:rsid w:val="00D740BC"/>
    <w:rsid w:val="00D74427"/>
    <w:rsid w:val="00D74444"/>
    <w:rsid w:val="00D74A94"/>
    <w:rsid w:val="00D74B5D"/>
    <w:rsid w:val="00D74B76"/>
    <w:rsid w:val="00D74BBD"/>
    <w:rsid w:val="00D750C5"/>
    <w:rsid w:val="00D750D1"/>
    <w:rsid w:val="00D753F7"/>
    <w:rsid w:val="00D75403"/>
    <w:rsid w:val="00D75E8D"/>
    <w:rsid w:val="00D761DB"/>
    <w:rsid w:val="00D7667E"/>
    <w:rsid w:val="00D767C3"/>
    <w:rsid w:val="00D7688D"/>
    <w:rsid w:val="00D773E0"/>
    <w:rsid w:val="00D77496"/>
    <w:rsid w:val="00D7778A"/>
    <w:rsid w:val="00D77BBF"/>
    <w:rsid w:val="00D77CD0"/>
    <w:rsid w:val="00D80099"/>
    <w:rsid w:val="00D8013D"/>
    <w:rsid w:val="00D8025F"/>
    <w:rsid w:val="00D8077C"/>
    <w:rsid w:val="00D8088F"/>
    <w:rsid w:val="00D80BE1"/>
    <w:rsid w:val="00D80FC1"/>
    <w:rsid w:val="00D81582"/>
    <w:rsid w:val="00D816B0"/>
    <w:rsid w:val="00D81767"/>
    <w:rsid w:val="00D818A9"/>
    <w:rsid w:val="00D81E65"/>
    <w:rsid w:val="00D8237C"/>
    <w:rsid w:val="00D823DD"/>
    <w:rsid w:val="00D82C68"/>
    <w:rsid w:val="00D82D40"/>
    <w:rsid w:val="00D82DA7"/>
    <w:rsid w:val="00D82DF6"/>
    <w:rsid w:val="00D82EC9"/>
    <w:rsid w:val="00D82F87"/>
    <w:rsid w:val="00D8309C"/>
    <w:rsid w:val="00D832F0"/>
    <w:rsid w:val="00D8356E"/>
    <w:rsid w:val="00D8369C"/>
    <w:rsid w:val="00D83764"/>
    <w:rsid w:val="00D8384B"/>
    <w:rsid w:val="00D83AC0"/>
    <w:rsid w:val="00D83BDC"/>
    <w:rsid w:val="00D83C12"/>
    <w:rsid w:val="00D83CC5"/>
    <w:rsid w:val="00D83E47"/>
    <w:rsid w:val="00D83EB8"/>
    <w:rsid w:val="00D8407F"/>
    <w:rsid w:val="00D84F83"/>
    <w:rsid w:val="00D8541D"/>
    <w:rsid w:val="00D858BB"/>
    <w:rsid w:val="00D859A5"/>
    <w:rsid w:val="00D85B2B"/>
    <w:rsid w:val="00D860E9"/>
    <w:rsid w:val="00D8689E"/>
    <w:rsid w:val="00D86E64"/>
    <w:rsid w:val="00D87156"/>
    <w:rsid w:val="00D8725A"/>
    <w:rsid w:val="00D873CA"/>
    <w:rsid w:val="00D87631"/>
    <w:rsid w:val="00D877B0"/>
    <w:rsid w:val="00D87CCB"/>
    <w:rsid w:val="00D9015F"/>
    <w:rsid w:val="00D9074B"/>
    <w:rsid w:val="00D909AF"/>
    <w:rsid w:val="00D90BB3"/>
    <w:rsid w:val="00D91745"/>
    <w:rsid w:val="00D917E1"/>
    <w:rsid w:val="00D91ADD"/>
    <w:rsid w:val="00D920CB"/>
    <w:rsid w:val="00D92131"/>
    <w:rsid w:val="00D921C8"/>
    <w:rsid w:val="00D9222F"/>
    <w:rsid w:val="00D924DF"/>
    <w:rsid w:val="00D9285D"/>
    <w:rsid w:val="00D92B72"/>
    <w:rsid w:val="00D92C29"/>
    <w:rsid w:val="00D92D89"/>
    <w:rsid w:val="00D92EB6"/>
    <w:rsid w:val="00D92EC1"/>
    <w:rsid w:val="00D93060"/>
    <w:rsid w:val="00D936FD"/>
    <w:rsid w:val="00D93A0D"/>
    <w:rsid w:val="00D93A6B"/>
    <w:rsid w:val="00D93BC8"/>
    <w:rsid w:val="00D94020"/>
    <w:rsid w:val="00D9416A"/>
    <w:rsid w:val="00D94586"/>
    <w:rsid w:val="00D945D2"/>
    <w:rsid w:val="00D94809"/>
    <w:rsid w:val="00D94C8A"/>
    <w:rsid w:val="00D94CA8"/>
    <w:rsid w:val="00D94D36"/>
    <w:rsid w:val="00D95313"/>
    <w:rsid w:val="00D95354"/>
    <w:rsid w:val="00D9538D"/>
    <w:rsid w:val="00D9552B"/>
    <w:rsid w:val="00D95646"/>
    <w:rsid w:val="00D95671"/>
    <w:rsid w:val="00D95696"/>
    <w:rsid w:val="00D957CA"/>
    <w:rsid w:val="00D95B94"/>
    <w:rsid w:val="00D96173"/>
    <w:rsid w:val="00D96595"/>
    <w:rsid w:val="00D9683C"/>
    <w:rsid w:val="00D96A47"/>
    <w:rsid w:val="00D96A8E"/>
    <w:rsid w:val="00D96A9C"/>
    <w:rsid w:val="00D96D5C"/>
    <w:rsid w:val="00D96D64"/>
    <w:rsid w:val="00D96EC9"/>
    <w:rsid w:val="00D97520"/>
    <w:rsid w:val="00D975FE"/>
    <w:rsid w:val="00D97816"/>
    <w:rsid w:val="00D97850"/>
    <w:rsid w:val="00D97B98"/>
    <w:rsid w:val="00D97BDD"/>
    <w:rsid w:val="00D97D32"/>
    <w:rsid w:val="00DA03AA"/>
    <w:rsid w:val="00DA03D9"/>
    <w:rsid w:val="00DA08E8"/>
    <w:rsid w:val="00DA0AB2"/>
    <w:rsid w:val="00DA0BBE"/>
    <w:rsid w:val="00DA0D13"/>
    <w:rsid w:val="00DA117B"/>
    <w:rsid w:val="00DA1806"/>
    <w:rsid w:val="00DA196E"/>
    <w:rsid w:val="00DA1A66"/>
    <w:rsid w:val="00DA1ABA"/>
    <w:rsid w:val="00DA1B5C"/>
    <w:rsid w:val="00DA1D48"/>
    <w:rsid w:val="00DA1D4A"/>
    <w:rsid w:val="00DA1EB6"/>
    <w:rsid w:val="00DA210B"/>
    <w:rsid w:val="00DA22D1"/>
    <w:rsid w:val="00DA271F"/>
    <w:rsid w:val="00DA2741"/>
    <w:rsid w:val="00DA2967"/>
    <w:rsid w:val="00DA2D9E"/>
    <w:rsid w:val="00DA2ED5"/>
    <w:rsid w:val="00DA3127"/>
    <w:rsid w:val="00DA33CB"/>
    <w:rsid w:val="00DA3412"/>
    <w:rsid w:val="00DA359C"/>
    <w:rsid w:val="00DA36A4"/>
    <w:rsid w:val="00DA3E7F"/>
    <w:rsid w:val="00DA3FE3"/>
    <w:rsid w:val="00DA40C4"/>
    <w:rsid w:val="00DA4B6C"/>
    <w:rsid w:val="00DA4D13"/>
    <w:rsid w:val="00DA50C8"/>
    <w:rsid w:val="00DA5746"/>
    <w:rsid w:val="00DA5A95"/>
    <w:rsid w:val="00DA5C6B"/>
    <w:rsid w:val="00DA5EB0"/>
    <w:rsid w:val="00DA62BA"/>
    <w:rsid w:val="00DA635D"/>
    <w:rsid w:val="00DA6435"/>
    <w:rsid w:val="00DA69A5"/>
    <w:rsid w:val="00DA6A53"/>
    <w:rsid w:val="00DA735E"/>
    <w:rsid w:val="00DA7569"/>
    <w:rsid w:val="00DB00E9"/>
    <w:rsid w:val="00DB03F4"/>
    <w:rsid w:val="00DB05D7"/>
    <w:rsid w:val="00DB15F2"/>
    <w:rsid w:val="00DB1687"/>
    <w:rsid w:val="00DB18D1"/>
    <w:rsid w:val="00DB1C52"/>
    <w:rsid w:val="00DB2000"/>
    <w:rsid w:val="00DB2028"/>
    <w:rsid w:val="00DB209C"/>
    <w:rsid w:val="00DB242C"/>
    <w:rsid w:val="00DB272C"/>
    <w:rsid w:val="00DB31F1"/>
    <w:rsid w:val="00DB3AC8"/>
    <w:rsid w:val="00DB3D41"/>
    <w:rsid w:val="00DB3F10"/>
    <w:rsid w:val="00DB414C"/>
    <w:rsid w:val="00DB426B"/>
    <w:rsid w:val="00DB45D4"/>
    <w:rsid w:val="00DB4AEB"/>
    <w:rsid w:val="00DB539F"/>
    <w:rsid w:val="00DB5B0D"/>
    <w:rsid w:val="00DB5B73"/>
    <w:rsid w:val="00DB5F26"/>
    <w:rsid w:val="00DB60CE"/>
    <w:rsid w:val="00DB6445"/>
    <w:rsid w:val="00DB663A"/>
    <w:rsid w:val="00DB668E"/>
    <w:rsid w:val="00DB691F"/>
    <w:rsid w:val="00DB6C16"/>
    <w:rsid w:val="00DB77A9"/>
    <w:rsid w:val="00DB796C"/>
    <w:rsid w:val="00DC0423"/>
    <w:rsid w:val="00DC0714"/>
    <w:rsid w:val="00DC1349"/>
    <w:rsid w:val="00DC190D"/>
    <w:rsid w:val="00DC1A35"/>
    <w:rsid w:val="00DC2192"/>
    <w:rsid w:val="00DC297F"/>
    <w:rsid w:val="00DC2E48"/>
    <w:rsid w:val="00DC338E"/>
    <w:rsid w:val="00DC3963"/>
    <w:rsid w:val="00DC43FA"/>
    <w:rsid w:val="00DC4578"/>
    <w:rsid w:val="00DC45E3"/>
    <w:rsid w:val="00DC4CC9"/>
    <w:rsid w:val="00DC56D9"/>
    <w:rsid w:val="00DC598E"/>
    <w:rsid w:val="00DC5A49"/>
    <w:rsid w:val="00DC5B72"/>
    <w:rsid w:val="00DC65EB"/>
    <w:rsid w:val="00DC6724"/>
    <w:rsid w:val="00DC69CE"/>
    <w:rsid w:val="00DC6D49"/>
    <w:rsid w:val="00DC6D97"/>
    <w:rsid w:val="00DC718D"/>
    <w:rsid w:val="00DC737D"/>
    <w:rsid w:val="00DC7414"/>
    <w:rsid w:val="00DC7886"/>
    <w:rsid w:val="00DC7CDC"/>
    <w:rsid w:val="00DC7F1E"/>
    <w:rsid w:val="00DD0299"/>
    <w:rsid w:val="00DD0CE8"/>
    <w:rsid w:val="00DD0D01"/>
    <w:rsid w:val="00DD1125"/>
    <w:rsid w:val="00DD1206"/>
    <w:rsid w:val="00DD1AD9"/>
    <w:rsid w:val="00DD212D"/>
    <w:rsid w:val="00DD22E8"/>
    <w:rsid w:val="00DD2372"/>
    <w:rsid w:val="00DD241D"/>
    <w:rsid w:val="00DD2735"/>
    <w:rsid w:val="00DD2A73"/>
    <w:rsid w:val="00DD2CCE"/>
    <w:rsid w:val="00DD2F93"/>
    <w:rsid w:val="00DD30C0"/>
    <w:rsid w:val="00DD33C4"/>
    <w:rsid w:val="00DD34C9"/>
    <w:rsid w:val="00DD3BD8"/>
    <w:rsid w:val="00DD3D0A"/>
    <w:rsid w:val="00DD3D3E"/>
    <w:rsid w:val="00DD49B6"/>
    <w:rsid w:val="00DD4F13"/>
    <w:rsid w:val="00DD530C"/>
    <w:rsid w:val="00DD5317"/>
    <w:rsid w:val="00DD5478"/>
    <w:rsid w:val="00DD54ED"/>
    <w:rsid w:val="00DD5669"/>
    <w:rsid w:val="00DD59DE"/>
    <w:rsid w:val="00DD5BE1"/>
    <w:rsid w:val="00DD5C1B"/>
    <w:rsid w:val="00DD5CB5"/>
    <w:rsid w:val="00DD61D3"/>
    <w:rsid w:val="00DD66B4"/>
    <w:rsid w:val="00DD6827"/>
    <w:rsid w:val="00DD68C6"/>
    <w:rsid w:val="00DD705E"/>
    <w:rsid w:val="00DD70B7"/>
    <w:rsid w:val="00DD7293"/>
    <w:rsid w:val="00DD7955"/>
    <w:rsid w:val="00DD7B79"/>
    <w:rsid w:val="00DD7D73"/>
    <w:rsid w:val="00DE045B"/>
    <w:rsid w:val="00DE07D2"/>
    <w:rsid w:val="00DE0F81"/>
    <w:rsid w:val="00DE133B"/>
    <w:rsid w:val="00DE14E7"/>
    <w:rsid w:val="00DE1974"/>
    <w:rsid w:val="00DE1B8E"/>
    <w:rsid w:val="00DE1BE5"/>
    <w:rsid w:val="00DE1F8D"/>
    <w:rsid w:val="00DE2152"/>
    <w:rsid w:val="00DE2320"/>
    <w:rsid w:val="00DE26FA"/>
    <w:rsid w:val="00DE29EE"/>
    <w:rsid w:val="00DE2C98"/>
    <w:rsid w:val="00DE2ECA"/>
    <w:rsid w:val="00DE3656"/>
    <w:rsid w:val="00DE371F"/>
    <w:rsid w:val="00DE3799"/>
    <w:rsid w:val="00DE3CEA"/>
    <w:rsid w:val="00DE4CEC"/>
    <w:rsid w:val="00DE4F2D"/>
    <w:rsid w:val="00DE5B2F"/>
    <w:rsid w:val="00DE5B33"/>
    <w:rsid w:val="00DE5D19"/>
    <w:rsid w:val="00DE6A15"/>
    <w:rsid w:val="00DE6D41"/>
    <w:rsid w:val="00DE6FD6"/>
    <w:rsid w:val="00DE758E"/>
    <w:rsid w:val="00DE7963"/>
    <w:rsid w:val="00DE7E2B"/>
    <w:rsid w:val="00DF010A"/>
    <w:rsid w:val="00DF0211"/>
    <w:rsid w:val="00DF0238"/>
    <w:rsid w:val="00DF028B"/>
    <w:rsid w:val="00DF074E"/>
    <w:rsid w:val="00DF07C9"/>
    <w:rsid w:val="00DF0A09"/>
    <w:rsid w:val="00DF0AA5"/>
    <w:rsid w:val="00DF0BEE"/>
    <w:rsid w:val="00DF0C95"/>
    <w:rsid w:val="00DF0CD7"/>
    <w:rsid w:val="00DF0DAF"/>
    <w:rsid w:val="00DF13C4"/>
    <w:rsid w:val="00DF15A9"/>
    <w:rsid w:val="00DF1860"/>
    <w:rsid w:val="00DF1F23"/>
    <w:rsid w:val="00DF233C"/>
    <w:rsid w:val="00DF2A26"/>
    <w:rsid w:val="00DF2B96"/>
    <w:rsid w:val="00DF2CF3"/>
    <w:rsid w:val="00DF3416"/>
    <w:rsid w:val="00DF3418"/>
    <w:rsid w:val="00DF3A5A"/>
    <w:rsid w:val="00DF403F"/>
    <w:rsid w:val="00DF45D2"/>
    <w:rsid w:val="00DF4B82"/>
    <w:rsid w:val="00DF4CBF"/>
    <w:rsid w:val="00DF4CC7"/>
    <w:rsid w:val="00DF4DDD"/>
    <w:rsid w:val="00DF4E2D"/>
    <w:rsid w:val="00DF50D6"/>
    <w:rsid w:val="00DF5168"/>
    <w:rsid w:val="00DF51EA"/>
    <w:rsid w:val="00DF5454"/>
    <w:rsid w:val="00DF5FE9"/>
    <w:rsid w:val="00DF616F"/>
    <w:rsid w:val="00DF61D6"/>
    <w:rsid w:val="00DF630C"/>
    <w:rsid w:val="00DF6390"/>
    <w:rsid w:val="00DF6756"/>
    <w:rsid w:val="00DF6C69"/>
    <w:rsid w:val="00DF6C97"/>
    <w:rsid w:val="00DF6EA8"/>
    <w:rsid w:val="00DF700D"/>
    <w:rsid w:val="00DF72DD"/>
    <w:rsid w:val="00DF7526"/>
    <w:rsid w:val="00DF7967"/>
    <w:rsid w:val="00DF7CC6"/>
    <w:rsid w:val="00DF7D1A"/>
    <w:rsid w:val="00DF7EA7"/>
    <w:rsid w:val="00E00983"/>
    <w:rsid w:val="00E00F33"/>
    <w:rsid w:val="00E01334"/>
    <w:rsid w:val="00E018E0"/>
    <w:rsid w:val="00E01B1A"/>
    <w:rsid w:val="00E01BA5"/>
    <w:rsid w:val="00E01D4C"/>
    <w:rsid w:val="00E01DAF"/>
    <w:rsid w:val="00E01E50"/>
    <w:rsid w:val="00E01F62"/>
    <w:rsid w:val="00E02689"/>
    <w:rsid w:val="00E02C05"/>
    <w:rsid w:val="00E02F56"/>
    <w:rsid w:val="00E03558"/>
    <w:rsid w:val="00E0368B"/>
    <w:rsid w:val="00E036B1"/>
    <w:rsid w:val="00E036D2"/>
    <w:rsid w:val="00E0385C"/>
    <w:rsid w:val="00E03D1A"/>
    <w:rsid w:val="00E03F06"/>
    <w:rsid w:val="00E03FDE"/>
    <w:rsid w:val="00E04654"/>
    <w:rsid w:val="00E0487B"/>
    <w:rsid w:val="00E04DC2"/>
    <w:rsid w:val="00E0553E"/>
    <w:rsid w:val="00E05B2A"/>
    <w:rsid w:val="00E05D44"/>
    <w:rsid w:val="00E05FC2"/>
    <w:rsid w:val="00E060B4"/>
    <w:rsid w:val="00E062C0"/>
    <w:rsid w:val="00E068BA"/>
    <w:rsid w:val="00E069DE"/>
    <w:rsid w:val="00E06B13"/>
    <w:rsid w:val="00E06B73"/>
    <w:rsid w:val="00E075C8"/>
    <w:rsid w:val="00E07736"/>
    <w:rsid w:val="00E07766"/>
    <w:rsid w:val="00E07D04"/>
    <w:rsid w:val="00E100FD"/>
    <w:rsid w:val="00E10135"/>
    <w:rsid w:val="00E106EF"/>
    <w:rsid w:val="00E10AFA"/>
    <w:rsid w:val="00E10FF0"/>
    <w:rsid w:val="00E1125A"/>
    <w:rsid w:val="00E115C4"/>
    <w:rsid w:val="00E11968"/>
    <w:rsid w:val="00E11B5C"/>
    <w:rsid w:val="00E1246D"/>
    <w:rsid w:val="00E12663"/>
    <w:rsid w:val="00E12693"/>
    <w:rsid w:val="00E12943"/>
    <w:rsid w:val="00E12BDC"/>
    <w:rsid w:val="00E12E0F"/>
    <w:rsid w:val="00E133B4"/>
    <w:rsid w:val="00E137D9"/>
    <w:rsid w:val="00E139D1"/>
    <w:rsid w:val="00E13CBF"/>
    <w:rsid w:val="00E143B3"/>
    <w:rsid w:val="00E145ED"/>
    <w:rsid w:val="00E14910"/>
    <w:rsid w:val="00E14A9F"/>
    <w:rsid w:val="00E14BD1"/>
    <w:rsid w:val="00E1530A"/>
    <w:rsid w:val="00E1585A"/>
    <w:rsid w:val="00E15960"/>
    <w:rsid w:val="00E15994"/>
    <w:rsid w:val="00E16164"/>
    <w:rsid w:val="00E161D9"/>
    <w:rsid w:val="00E163FD"/>
    <w:rsid w:val="00E166FB"/>
    <w:rsid w:val="00E169AC"/>
    <w:rsid w:val="00E16A98"/>
    <w:rsid w:val="00E16C46"/>
    <w:rsid w:val="00E16E17"/>
    <w:rsid w:val="00E16F9E"/>
    <w:rsid w:val="00E1721B"/>
    <w:rsid w:val="00E17482"/>
    <w:rsid w:val="00E1753D"/>
    <w:rsid w:val="00E17A2A"/>
    <w:rsid w:val="00E17B91"/>
    <w:rsid w:val="00E17E0D"/>
    <w:rsid w:val="00E17E35"/>
    <w:rsid w:val="00E20024"/>
    <w:rsid w:val="00E203B7"/>
    <w:rsid w:val="00E20983"/>
    <w:rsid w:val="00E20B25"/>
    <w:rsid w:val="00E20C35"/>
    <w:rsid w:val="00E20CE9"/>
    <w:rsid w:val="00E20D88"/>
    <w:rsid w:val="00E20DC3"/>
    <w:rsid w:val="00E21141"/>
    <w:rsid w:val="00E213A5"/>
    <w:rsid w:val="00E217B1"/>
    <w:rsid w:val="00E21917"/>
    <w:rsid w:val="00E21C43"/>
    <w:rsid w:val="00E21CF0"/>
    <w:rsid w:val="00E21DC7"/>
    <w:rsid w:val="00E21EA6"/>
    <w:rsid w:val="00E221B0"/>
    <w:rsid w:val="00E2241D"/>
    <w:rsid w:val="00E22874"/>
    <w:rsid w:val="00E228BA"/>
    <w:rsid w:val="00E229B3"/>
    <w:rsid w:val="00E22A25"/>
    <w:rsid w:val="00E22E41"/>
    <w:rsid w:val="00E22F01"/>
    <w:rsid w:val="00E2312D"/>
    <w:rsid w:val="00E231FE"/>
    <w:rsid w:val="00E24142"/>
    <w:rsid w:val="00E24173"/>
    <w:rsid w:val="00E241B4"/>
    <w:rsid w:val="00E242F0"/>
    <w:rsid w:val="00E2449C"/>
    <w:rsid w:val="00E24693"/>
    <w:rsid w:val="00E2491C"/>
    <w:rsid w:val="00E24962"/>
    <w:rsid w:val="00E24AC8"/>
    <w:rsid w:val="00E24B8D"/>
    <w:rsid w:val="00E24BA5"/>
    <w:rsid w:val="00E24BB7"/>
    <w:rsid w:val="00E24F30"/>
    <w:rsid w:val="00E252CB"/>
    <w:rsid w:val="00E25516"/>
    <w:rsid w:val="00E259D1"/>
    <w:rsid w:val="00E25FCC"/>
    <w:rsid w:val="00E263F2"/>
    <w:rsid w:val="00E2655F"/>
    <w:rsid w:val="00E266EE"/>
    <w:rsid w:val="00E26A46"/>
    <w:rsid w:val="00E26B60"/>
    <w:rsid w:val="00E270E1"/>
    <w:rsid w:val="00E271F1"/>
    <w:rsid w:val="00E27566"/>
    <w:rsid w:val="00E27602"/>
    <w:rsid w:val="00E2781A"/>
    <w:rsid w:val="00E27AFD"/>
    <w:rsid w:val="00E3011B"/>
    <w:rsid w:val="00E301CB"/>
    <w:rsid w:val="00E303EC"/>
    <w:rsid w:val="00E304A1"/>
    <w:rsid w:val="00E3087E"/>
    <w:rsid w:val="00E308F4"/>
    <w:rsid w:val="00E309B8"/>
    <w:rsid w:val="00E3109E"/>
    <w:rsid w:val="00E314B1"/>
    <w:rsid w:val="00E315F5"/>
    <w:rsid w:val="00E31607"/>
    <w:rsid w:val="00E31ABB"/>
    <w:rsid w:val="00E31C88"/>
    <w:rsid w:val="00E31C9F"/>
    <w:rsid w:val="00E31D70"/>
    <w:rsid w:val="00E31E1B"/>
    <w:rsid w:val="00E31E56"/>
    <w:rsid w:val="00E3203C"/>
    <w:rsid w:val="00E321FD"/>
    <w:rsid w:val="00E32229"/>
    <w:rsid w:val="00E3259A"/>
    <w:rsid w:val="00E32B0F"/>
    <w:rsid w:val="00E33289"/>
    <w:rsid w:val="00E3355B"/>
    <w:rsid w:val="00E3372F"/>
    <w:rsid w:val="00E337E3"/>
    <w:rsid w:val="00E3388B"/>
    <w:rsid w:val="00E33949"/>
    <w:rsid w:val="00E33A26"/>
    <w:rsid w:val="00E33A64"/>
    <w:rsid w:val="00E33D36"/>
    <w:rsid w:val="00E3400C"/>
    <w:rsid w:val="00E341CC"/>
    <w:rsid w:val="00E3492D"/>
    <w:rsid w:val="00E34B84"/>
    <w:rsid w:val="00E34BDE"/>
    <w:rsid w:val="00E34CFE"/>
    <w:rsid w:val="00E34D7F"/>
    <w:rsid w:val="00E35049"/>
    <w:rsid w:val="00E3568C"/>
    <w:rsid w:val="00E358F1"/>
    <w:rsid w:val="00E36742"/>
    <w:rsid w:val="00E36C91"/>
    <w:rsid w:val="00E3705C"/>
    <w:rsid w:val="00E370E3"/>
    <w:rsid w:val="00E3719E"/>
    <w:rsid w:val="00E376F1"/>
    <w:rsid w:val="00E37B6A"/>
    <w:rsid w:val="00E37F84"/>
    <w:rsid w:val="00E4061E"/>
    <w:rsid w:val="00E40673"/>
    <w:rsid w:val="00E409DD"/>
    <w:rsid w:val="00E409ED"/>
    <w:rsid w:val="00E40BB0"/>
    <w:rsid w:val="00E40BD7"/>
    <w:rsid w:val="00E40E85"/>
    <w:rsid w:val="00E41117"/>
    <w:rsid w:val="00E4117E"/>
    <w:rsid w:val="00E41290"/>
    <w:rsid w:val="00E415E2"/>
    <w:rsid w:val="00E4172B"/>
    <w:rsid w:val="00E418AB"/>
    <w:rsid w:val="00E42460"/>
    <w:rsid w:val="00E42DDE"/>
    <w:rsid w:val="00E43649"/>
    <w:rsid w:val="00E43A65"/>
    <w:rsid w:val="00E440F3"/>
    <w:rsid w:val="00E442E2"/>
    <w:rsid w:val="00E44640"/>
    <w:rsid w:val="00E44A7E"/>
    <w:rsid w:val="00E44D96"/>
    <w:rsid w:val="00E44E68"/>
    <w:rsid w:val="00E453A5"/>
    <w:rsid w:val="00E454E9"/>
    <w:rsid w:val="00E45695"/>
    <w:rsid w:val="00E459F2"/>
    <w:rsid w:val="00E45D51"/>
    <w:rsid w:val="00E45F69"/>
    <w:rsid w:val="00E46244"/>
    <w:rsid w:val="00E46765"/>
    <w:rsid w:val="00E46946"/>
    <w:rsid w:val="00E4696C"/>
    <w:rsid w:val="00E4705A"/>
    <w:rsid w:val="00E4715D"/>
    <w:rsid w:val="00E475AF"/>
    <w:rsid w:val="00E47775"/>
    <w:rsid w:val="00E4795A"/>
    <w:rsid w:val="00E47A61"/>
    <w:rsid w:val="00E47F9C"/>
    <w:rsid w:val="00E504BC"/>
    <w:rsid w:val="00E50ACC"/>
    <w:rsid w:val="00E50C0C"/>
    <w:rsid w:val="00E50D23"/>
    <w:rsid w:val="00E50EF0"/>
    <w:rsid w:val="00E50F88"/>
    <w:rsid w:val="00E51F9F"/>
    <w:rsid w:val="00E520AA"/>
    <w:rsid w:val="00E52150"/>
    <w:rsid w:val="00E5303D"/>
    <w:rsid w:val="00E53113"/>
    <w:rsid w:val="00E53323"/>
    <w:rsid w:val="00E5343A"/>
    <w:rsid w:val="00E5362E"/>
    <w:rsid w:val="00E537E1"/>
    <w:rsid w:val="00E5385C"/>
    <w:rsid w:val="00E53B24"/>
    <w:rsid w:val="00E53E08"/>
    <w:rsid w:val="00E53EB1"/>
    <w:rsid w:val="00E540EA"/>
    <w:rsid w:val="00E54428"/>
    <w:rsid w:val="00E5569E"/>
    <w:rsid w:val="00E55BB5"/>
    <w:rsid w:val="00E5662B"/>
    <w:rsid w:val="00E566A4"/>
    <w:rsid w:val="00E566A6"/>
    <w:rsid w:val="00E56800"/>
    <w:rsid w:val="00E56BBC"/>
    <w:rsid w:val="00E56BE8"/>
    <w:rsid w:val="00E56C06"/>
    <w:rsid w:val="00E571BF"/>
    <w:rsid w:val="00E572F7"/>
    <w:rsid w:val="00E57453"/>
    <w:rsid w:val="00E574CF"/>
    <w:rsid w:val="00E57680"/>
    <w:rsid w:val="00E57814"/>
    <w:rsid w:val="00E57A51"/>
    <w:rsid w:val="00E57D0C"/>
    <w:rsid w:val="00E60108"/>
    <w:rsid w:val="00E6015B"/>
    <w:rsid w:val="00E60374"/>
    <w:rsid w:val="00E607F3"/>
    <w:rsid w:val="00E60A18"/>
    <w:rsid w:val="00E61533"/>
    <w:rsid w:val="00E61985"/>
    <w:rsid w:val="00E61AEC"/>
    <w:rsid w:val="00E61C1D"/>
    <w:rsid w:val="00E61C8A"/>
    <w:rsid w:val="00E61FA3"/>
    <w:rsid w:val="00E62A2D"/>
    <w:rsid w:val="00E62D9D"/>
    <w:rsid w:val="00E62EAE"/>
    <w:rsid w:val="00E63180"/>
    <w:rsid w:val="00E63722"/>
    <w:rsid w:val="00E6374D"/>
    <w:rsid w:val="00E63954"/>
    <w:rsid w:val="00E63A71"/>
    <w:rsid w:val="00E63DAA"/>
    <w:rsid w:val="00E63FA7"/>
    <w:rsid w:val="00E64158"/>
    <w:rsid w:val="00E64268"/>
    <w:rsid w:val="00E64665"/>
    <w:rsid w:val="00E647B4"/>
    <w:rsid w:val="00E64980"/>
    <w:rsid w:val="00E64C43"/>
    <w:rsid w:val="00E64DAA"/>
    <w:rsid w:val="00E655A7"/>
    <w:rsid w:val="00E656DF"/>
    <w:rsid w:val="00E658E6"/>
    <w:rsid w:val="00E658F5"/>
    <w:rsid w:val="00E65D0D"/>
    <w:rsid w:val="00E65D60"/>
    <w:rsid w:val="00E65F9C"/>
    <w:rsid w:val="00E65FC8"/>
    <w:rsid w:val="00E65FD4"/>
    <w:rsid w:val="00E66038"/>
    <w:rsid w:val="00E66451"/>
    <w:rsid w:val="00E665ED"/>
    <w:rsid w:val="00E6687E"/>
    <w:rsid w:val="00E66A42"/>
    <w:rsid w:val="00E66DFD"/>
    <w:rsid w:val="00E67023"/>
    <w:rsid w:val="00E6747B"/>
    <w:rsid w:val="00E674CA"/>
    <w:rsid w:val="00E67730"/>
    <w:rsid w:val="00E7002D"/>
    <w:rsid w:val="00E70075"/>
    <w:rsid w:val="00E70AA9"/>
    <w:rsid w:val="00E70AC4"/>
    <w:rsid w:val="00E70CFC"/>
    <w:rsid w:val="00E70E72"/>
    <w:rsid w:val="00E710C9"/>
    <w:rsid w:val="00E71175"/>
    <w:rsid w:val="00E7126C"/>
    <w:rsid w:val="00E71426"/>
    <w:rsid w:val="00E7145E"/>
    <w:rsid w:val="00E71AC9"/>
    <w:rsid w:val="00E72442"/>
    <w:rsid w:val="00E72DA3"/>
    <w:rsid w:val="00E72DB9"/>
    <w:rsid w:val="00E732B6"/>
    <w:rsid w:val="00E73B4F"/>
    <w:rsid w:val="00E73D67"/>
    <w:rsid w:val="00E73F80"/>
    <w:rsid w:val="00E7408C"/>
    <w:rsid w:val="00E74B9B"/>
    <w:rsid w:val="00E75290"/>
    <w:rsid w:val="00E7531B"/>
    <w:rsid w:val="00E75345"/>
    <w:rsid w:val="00E759F2"/>
    <w:rsid w:val="00E75EB6"/>
    <w:rsid w:val="00E76052"/>
    <w:rsid w:val="00E76325"/>
    <w:rsid w:val="00E76328"/>
    <w:rsid w:val="00E76E3E"/>
    <w:rsid w:val="00E774E6"/>
    <w:rsid w:val="00E77C77"/>
    <w:rsid w:val="00E77FC8"/>
    <w:rsid w:val="00E801AF"/>
    <w:rsid w:val="00E80FE7"/>
    <w:rsid w:val="00E818E3"/>
    <w:rsid w:val="00E81BC3"/>
    <w:rsid w:val="00E81DDE"/>
    <w:rsid w:val="00E81E19"/>
    <w:rsid w:val="00E81FE5"/>
    <w:rsid w:val="00E8233F"/>
    <w:rsid w:val="00E82983"/>
    <w:rsid w:val="00E839D3"/>
    <w:rsid w:val="00E83A40"/>
    <w:rsid w:val="00E83E78"/>
    <w:rsid w:val="00E84BD4"/>
    <w:rsid w:val="00E85A01"/>
    <w:rsid w:val="00E85AE0"/>
    <w:rsid w:val="00E85D2F"/>
    <w:rsid w:val="00E85D32"/>
    <w:rsid w:val="00E86648"/>
    <w:rsid w:val="00E86723"/>
    <w:rsid w:val="00E86E27"/>
    <w:rsid w:val="00E86EE9"/>
    <w:rsid w:val="00E87817"/>
    <w:rsid w:val="00E87CF7"/>
    <w:rsid w:val="00E9059C"/>
    <w:rsid w:val="00E9076A"/>
    <w:rsid w:val="00E90789"/>
    <w:rsid w:val="00E90823"/>
    <w:rsid w:val="00E90AD9"/>
    <w:rsid w:val="00E90B51"/>
    <w:rsid w:val="00E91448"/>
    <w:rsid w:val="00E91765"/>
    <w:rsid w:val="00E91803"/>
    <w:rsid w:val="00E91854"/>
    <w:rsid w:val="00E91C14"/>
    <w:rsid w:val="00E91D3A"/>
    <w:rsid w:val="00E92A3F"/>
    <w:rsid w:val="00E92C5D"/>
    <w:rsid w:val="00E92EB8"/>
    <w:rsid w:val="00E92F35"/>
    <w:rsid w:val="00E93382"/>
    <w:rsid w:val="00E93504"/>
    <w:rsid w:val="00E9377F"/>
    <w:rsid w:val="00E937B6"/>
    <w:rsid w:val="00E93EEA"/>
    <w:rsid w:val="00E944EC"/>
    <w:rsid w:val="00E94794"/>
    <w:rsid w:val="00E95744"/>
    <w:rsid w:val="00E959B5"/>
    <w:rsid w:val="00E95D8F"/>
    <w:rsid w:val="00E95EF8"/>
    <w:rsid w:val="00E96307"/>
    <w:rsid w:val="00E96498"/>
    <w:rsid w:val="00E96538"/>
    <w:rsid w:val="00E97087"/>
    <w:rsid w:val="00E970E4"/>
    <w:rsid w:val="00E97235"/>
    <w:rsid w:val="00E97E03"/>
    <w:rsid w:val="00E97F1B"/>
    <w:rsid w:val="00E97FBE"/>
    <w:rsid w:val="00E97FF8"/>
    <w:rsid w:val="00EA0B56"/>
    <w:rsid w:val="00EA1D09"/>
    <w:rsid w:val="00EA1D67"/>
    <w:rsid w:val="00EA2D42"/>
    <w:rsid w:val="00EA2D72"/>
    <w:rsid w:val="00EA33B0"/>
    <w:rsid w:val="00EA3D83"/>
    <w:rsid w:val="00EA3FA5"/>
    <w:rsid w:val="00EA40BC"/>
    <w:rsid w:val="00EA4189"/>
    <w:rsid w:val="00EA4A6D"/>
    <w:rsid w:val="00EA4B48"/>
    <w:rsid w:val="00EA5141"/>
    <w:rsid w:val="00EA5230"/>
    <w:rsid w:val="00EA5BB8"/>
    <w:rsid w:val="00EA5F60"/>
    <w:rsid w:val="00EA66AC"/>
    <w:rsid w:val="00EA6BFA"/>
    <w:rsid w:val="00EA6F73"/>
    <w:rsid w:val="00EA70DC"/>
    <w:rsid w:val="00EA7801"/>
    <w:rsid w:val="00EA7898"/>
    <w:rsid w:val="00EA7ADD"/>
    <w:rsid w:val="00EB0200"/>
    <w:rsid w:val="00EB0A73"/>
    <w:rsid w:val="00EB0D5B"/>
    <w:rsid w:val="00EB0E1D"/>
    <w:rsid w:val="00EB10AC"/>
    <w:rsid w:val="00EB13A5"/>
    <w:rsid w:val="00EB1568"/>
    <w:rsid w:val="00EB1715"/>
    <w:rsid w:val="00EB173E"/>
    <w:rsid w:val="00EB17DE"/>
    <w:rsid w:val="00EB1B7F"/>
    <w:rsid w:val="00EB1BFF"/>
    <w:rsid w:val="00EB1D8B"/>
    <w:rsid w:val="00EB1E1E"/>
    <w:rsid w:val="00EB1F76"/>
    <w:rsid w:val="00EB2124"/>
    <w:rsid w:val="00EB23BD"/>
    <w:rsid w:val="00EB2482"/>
    <w:rsid w:val="00EB2712"/>
    <w:rsid w:val="00EB281F"/>
    <w:rsid w:val="00EB29E9"/>
    <w:rsid w:val="00EB3302"/>
    <w:rsid w:val="00EB33AE"/>
    <w:rsid w:val="00EB3558"/>
    <w:rsid w:val="00EB355F"/>
    <w:rsid w:val="00EB37F1"/>
    <w:rsid w:val="00EB385B"/>
    <w:rsid w:val="00EB392C"/>
    <w:rsid w:val="00EB3D55"/>
    <w:rsid w:val="00EB3F82"/>
    <w:rsid w:val="00EB45B1"/>
    <w:rsid w:val="00EB48AB"/>
    <w:rsid w:val="00EB4C52"/>
    <w:rsid w:val="00EB4C86"/>
    <w:rsid w:val="00EB4DC2"/>
    <w:rsid w:val="00EB5050"/>
    <w:rsid w:val="00EB51DA"/>
    <w:rsid w:val="00EB556A"/>
    <w:rsid w:val="00EB5681"/>
    <w:rsid w:val="00EB587C"/>
    <w:rsid w:val="00EB5A01"/>
    <w:rsid w:val="00EB5C87"/>
    <w:rsid w:val="00EB5FD5"/>
    <w:rsid w:val="00EB6416"/>
    <w:rsid w:val="00EB692C"/>
    <w:rsid w:val="00EB69D1"/>
    <w:rsid w:val="00EB6BDE"/>
    <w:rsid w:val="00EB6DB8"/>
    <w:rsid w:val="00EB7293"/>
    <w:rsid w:val="00EB75F4"/>
    <w:rsid w:val="00EB7E28"/>
    <w:rsid w:val="00EC065D"/>
    <w:rsid w:val="00EC0964"/>
    <w:rsid w:val="00EC09D2"/>
    <w:rsid w:val="00EC0C64"/>
    <w:rsid w:val="00EC11D6"/>
    <w:rsid w:val="00EC15E6"/>
    <w:rsid w:val="00EC1934"/>
    <w:rsid w:val="00EC1BFC"/>
    <w:rsid w:val="00EC28BF"/>
    <w:rsid w:val="00EC2A23"/>
    <w:rsid w:val="00EC3254"/>
    <w:rsid w:val="00EC331D"/>
    <w:rsid w:val="00EC33F7"/>
    <w:rsid w:val="00EC3516"/>
    <w:rsid w:val="00EC3545"/>
    <w:rsid w:val="00EC3A4C"/>
    <w:rsid w:val="00EC3B16"/>
    <w:rsid w:val="00EC3BDE"/>
    <w:rsid w:val="00EC3EEB"/>
    <w:rsid w:val="00EC477F"/>
    <w:rsid w:val="00EC47F5"/>
    <w:rsid w:val="00EC48ED"/>
    <w:rsid w:val="00EC4B2D"/>
    <w:rsid w:val="00EC4C63"/>
    <w:rsid w:val="00EC5111"/>
    <w:rsid w:val="00EC5461"/>
    <w:rsid w:val="00EC6089"/>
    <w:rsid w:val="00EC6DA8"/>
    <w:rsid w:val="00EC72BB"/>
    <w:rsid w:val="00EC74C8"/>
    <w:rsid w:val="00EC7A39"/>
    <w:rsid w:val="00ED0591"/>
    <w:rsid w:val="00ED07D6"/>
    <w:rsid w:val="00ED09D3"/>
    <w:rsid w:val="00ED125A"/>
    <w:rsid w:val="00ED1659"/>
    <w:rsid w:val="00ED17DB"/>
    <w:rsid w:val="00ED192F"/>
    <w:rsid w:val="00ED1B92"/>
    <w:rsid w:val="00ED2634"/>
    <w:rsid w:val="00ED2A28"/>
    <w:rsid w:val="00ED2E03"/>
    <w:rsid w:val="00ED3479"/>
    <w:rsid w:val="00ED357E"/>
    <w:rsid w:val="00ED3656"/>
    <w:rsid w:val="00ED3738"/>
    <w:rsid w:val="00ED3924"/>
    <w:rsid w:val="00ED3D4F"/>
    <w:rsid w:val="00ED3E9B"/>
    <w:rsid w:val="00ED4133"/>
    <w:rsid w:val="00ED413F"/>
    <w:rsid w:val="00ED4252"/>
    <w:rsid w:val="00ED45BF"/>
    <w:rsid w:val="00ED45F4"/>
    <w:rsid w:val="00ED4740"/>
    <w:rsid w:val="00ED52D0"/>
    <w:rsid w:val="00ED52E6"/>
    <w:rsid w:val="00ED5EB1"/>
    <w:rsid w:val="00ED65D7"/>
    <w:rsid w:val="00ED6711"/>
    <w:rsid w:val="00ED6B15"/>
    <w:rsid w:val="00ED6B17"/>
    <w:rsid w:val="00ED6CFC"/>
    <w:rsid w:val="00ED6FAF"/>
    <w:rsid w:val="00ED722E"/>
    <w:rsid w:val="00ED76D1"/>
    <w:rsid w:val="00ED7B3F"/>
    <w:rsid w:val="00EE00E4"/>
    <w:rsid w:val="00EE0812"/>
    <w:rsid w:val="00EE083A"/>
    <w:rsid w:val="00EE086E"/>
    <w:rsid w:val="00EE0A61"/>
    <w:rsid w:val="00EE0ABD"/>
    <w:rsid w:val="00EE0D3D"/>
    <w:rsid w:val="00EE156A"/>
    <w:rsid w:val="00EE1929"/>
    <w:rsid w:val="00EE1C3A"/>
    <w:rsid w:val="00EE1D9D"/>
    <w:rsid w:val="00EE1F98"/>
    <w:rsid w:val="00EE20F0"/>
    <w:rsid w:val="00EE24C9"/>
    <w:rsid w:val="00EE27C4"/>
    <w:rsid w:val="00EE2B11"/>
    <w:rsid w:val="00EE2B4C"/>
    <w:rsid w:val="00EE2B54"/>
    <w:rsid w:val="00EE3397"/>
    <w:rsid w:val="00EE35A7"/>
    <w:rsid w:val="00EE35F3"/>
    <w:rsid w:val="00EE38CF"/>
    <w:rsid w:val="00EE3C0A"/>
    <w:rsid w:val="00EE3D25"/>
    <w:rsid w:val="00EE3EA5"/>
    <w:rsid w:val="00EE4F35"/>
    <w:rsid w:val="00EE4FD0"/>
    <w:rsid w:val="00EE50A6"/>
    <w:rsid w:val="00EE50C6"/>
    <w:rsid w:val="00EE55A5"/>
    <w:rsid w:val="00EE55FF"/>
    <w:rsid w:val="00EE56BF"/>
    <w:rsid w:val="00EE5A35"/>
    <w:rsid w:val="00EE60B3"/>
    <w:rsid w:val="00EE60F9"/>
    <w:rsid w:val="00EE61D0"/>
    <w:rsid w:val="00EE64CD"/>
    <w:rsid w:val="00EE6686"/>
    <w:rsid w:val="00EE6893"/>
    <w:rsid w:val="00EE6D94"/>
    <w:rsid w:val="00EE71F7"/>
    <w:rsid w:val="00EE7839"/>
    <w:rsid w:val="00EE78D5"/>
    <w:rsid w:val="00EE7C33"/>
    <w:rsid w:val="00EE7D6D"/>
    <w:rsid w:val="00EE7FE4"/>
    <w:rsid w:val="00EF0054"/>
    <w:rsid w:val="00EF0710"/>
    <w:rsid w:val="00EF0A4D"/>
    <w:rsid w:val="00EF0AF5"/>
    <w:rsid w:val="00EF0BF7"/>
    <w:rsid w:val="00EF0CC6"/>
    <w:rsid w:val="00EF0EEB"/>
    <w:rsid w:val="00EF0EF7"/>
    <w:rsid w:val="00EF1072"/>
    <w:rsid w:val="00EF1242"/>
    <w:rsid w:val="00EF1259"/>
    <w:rsid w:val="00EF15E6"/>
    <w:rsid w:val="00EF1BBC"/>
    <w:rsid w:val="00EF1D78"/>
    <w:rsid w:val="00EF1E8A"/>
    <w:rsid w:val="00EF1F28"/>
    <w:rsid w:val="00EF2228"/>
    <w:rsid w:val="00EF2359"/>
    <w:rsid w:val="00EF2377"/>
    <w:rsid w:val="00EF26DE"/>
    <w:rsid w:val="00EF2FBB"/>
    <w:rsid w:val="00EF323A"/>
    <w:rsid w:val="00EF35AB"/>
    <w:rsid w:val="00EF35C1"/>
    <w:rsid w:val="00EF3883"/>
    <w:rsid w:val="00EF3E74"/>
    <w:rsid w:val="00EF420F"/>
    <w:rsid w:val="00EF4434"/>
    <w:rsid w:val="00EF4804"/>
    <w:rsid w:val="00EF4AD3"/>
    <w:rsid w:val="00EF4C1E"/>
    <w:rsid w:val="00EF4E17"/>
    <w:rsid w:val="00EF56A4"/>
    <w:rsid w:val="00EF5796"/>
    <w:rsid w:val="00EF5A52"/>
    <w:rsid w:val="00EF5D7A"/>
    <w:rsid w:val="00EF5DB1"/>
    <w:rsid w:val="00EF5F6D"/>
    <w:rsid w:val="00EF646F"/>
    <w:rsid w:val="00EF67E5"/>
    <w:rsid w:val="00EF6AD3"/>
    <w:rsid w:val="00EF752B"/>
    <w:rsid w:val="00EF75FE"/>
    <w:rsid w:val="00EF76FF"/>
    <w:rsid w:val="00EF7759"/>
    <w:rsid w:val="00EF7A3E"/>
    <w:rsid w:val="00EF7CA8"/>
    <w:rsid w:val="00EF7D57"/>
    <w:rsid w:val="00EF7DA3"/>
    <w:rsid w:val="00F0030F"/>
    <w:rsid w:val="00F0067B"/>
    <w:rsid w:val="00F00860"/>
    <w:rsid w:val="00F008B0"/>
    <w:rsid w:val="00F00992"/>
    <w:rsid w:val="00F00F6A"/>
    <w:rsid w:val="00F0134A"/>
    <w:rsid w:val="00F013F2"/>
    <w:rsid w:val="00F01604"/>
    <w:rsid w:val="00F02193"/>
    <w:rsid w:val="00F022E9"/>
    <w:rsid w:val="00F03474"/>
    <w:rsid w:val="00F038E4"/>
    <w:rsid w:val="00F03D61"/>
    <w:rsid w:val="00F03DDE"/>
    <w:rsid w:val="00F040B7"/>
    <w:rsid w:val="00F042B3"/>
    <w:rsid w:val="00F043CB"/>
    <w:rsid w:val="00F04818"/>
    <w:rsid w:val="00F050A2"/>
    <w:rsid w:val="00F05120"/>
    <w:rsid w:val="00F05FF8"/>
    <w:rsid w:val="00F065CF"/>
    <w:rsid w:val="00F066D0"/>
    <w:rsid w:val="00F067C1"/>
    <w:rsid w:val="00F06A65"/>
    <w:rsid w:val="00F0735D"/>
    <w:rsid w:val="00F07555"/>
    <w:rsid w:val="00F07E46"/>
    <w:rsid w:val="00F103E2"/>
    <w:rsid w:val="00F1078A"/>
    <w:rsid w:val="00F113B6"/>
    <w:rsid w:val="00F11723"/>
    <w:rsid w:val="00F11A75"/>
    <w:rsid w:val="00F11ACF"/>
    <w:rsid w:val="00F11CC7"/>
    <w:rsid w:val="00F11DA8"/>
    <w:rsid w:val="00F11E1A"/>
    <w:rsid w:val="00F12B51"/>
    <w:rsid w:val="00F12B62"/>
    <w:rsid w:val="00F12DBE"/>
    <w:rsid w:val="00F13121"/>
    <w:rsid w:val="00F13418"/>
    <w:rsid w:val="00F13439"/>
    <w:rsid w:val="00F135FC"/>
    <w:rsid w:val="00F138E9"/>
    <w:rsid w:val="00F139D8"/>
    <w:rsid w:val="00F13CA6"/>
    <w:rsid w:val="00F13DBE"/>
    <w:rsid w:val="00F13E66"/>
    <w:rsid w:val="00F142A3"/>
    <w:rsid w:val="00F14339"/>
    <w:rsid w:val="00F144DC"/>
    <w:rsid w:val="00F147FB"/>
    <w:rsid w:val="00F14BFA"/>
    <w:rsid w:val="00F15048"/>
    <w:rsid w:val="00F15086"/>
    <w:rsid w:val="00F150F0"/>
    <w:rsid w:val="00F152B2"/>
    <w:rsid w:val="00F1560D"/>
    <w:rsid w:val="00F156DB"/>
    <w:rsid w:val="00F15B78"/>
    <w:rsid w:val="00F15D21"/>
    <w:rsid w:val="00F161C5"/>
    <w:rsid w:val="00F1684E"/>
    <w:rsid w:val="00F1687F"/>
    <w:rsid w:val="00F16A9D"/>
    <w:rsid w:val="00F16BED"/>
    <w:rsid w:val="00F171D0"/>
    <w:rsid w:val="00F17425"/>
    <w:rsid w:val="00F17789"/>
    <w:rsid w:val="00F17F91"/>
    <w:rsid w:val="00F207EA"/>
    <w:rsid w:val="00F207F9"/>
    <w:rsid w:val="00F2094B"/>
    <w:rsid w:val="00F20C7E"/>
    <w:rsid w:val="00F20CBD"/>
    <w:rsid w:val="00F20D3C"/>
    <w:rsid w:val="00F20F2C"/>
    <w:rsid w:val="00F20FE1"/>
    <w:rsid w:val="00F211B4"/>
    <w:rsid w:val="00F21CA3"/>
    <w:rsid w:val="00F21DB2"/>
    <w:rsid w:val="00F21E02"/>
    <w:rsid w:val="00F21F4A"/>
    <w:rsid w:val="00F22161"/>
    <w:rsid w:val="00F224C1"/>
    <w:rsid w:val="00F22554"/>
    <w:rsid w:val="00F2256B"/>
    <w:rsid w:val="00F22712"/>
    <w:rsid w:val="00F227F4"/>
    <w:rsid w:val="00F22978"/>
    <w:rsid w:val="00F22CB6"/>
    <w:rsid w:val="00F22E4E"/>
    <w:rsid w:val="00F23187"/>
    <w:rsid w:val="00F231DD"/>
    <w:rsid w:val="00F23300"/>
    <w:rsid w:val="00F233B2"/>
    <w:rsid w:val="00F239FF"/>
    <w:rsid w:val="00F241B6"/>
    <w:rsid w:val="00F246D8"/>
    <w:rsid w:val="00F24EA6"/>
    <w:rsid w:val="00F24EC9"/>
    <w:rsid w:val="00F250C7"/>
    <w:rsid w:val="00F2543B"/>
    <w:rsid w:val="00F254AE"/>
    <w:rsid w:val="00F2572F"/>
    <w:rsid w:val="00F257C0"/>
    <w:rsid w:val="00F2599A"/>
    <w:rsid w:val="00F25D33"/>
    <w:rsid w:val="00F260FC"/>
    <w:rsid w:val="00F263B5"/>
    <w:rsid w:val="00F26484"/>
    <w:rsid w:val="00F267C8"/>
    <w:rsid w:val="00F26D38"/>
    <w:rsid w:val="00F274EE"/>
    <w:rsid w:val="00F27B33"/>
    <w:rsid w:val="00F301B4"/>
    <w:rsid w:val="00F302D2"/>
    <w:rsid w:val="00F30408"/>
    <w:rsid w:val="00F306A9"/>
    <w:rsid w:val="00F30740"/>
    <w:rsid w:val="00F308E5"/>
    <w:rsid w:val="00F30B80"/>
    <w:rsid w:val="00F310A3"/>
    <w:rsid w:val="00F315F3"/>
    <w:rsid w:val="00F3184B"/>
    <w:rsid w:val="00F31F07"/>
    <w:rsid w:val="00F321A5"/>
    <w:rsid w:val="00F322D2"/>
    <w:rsid w:val="00F32611"/>
    <w:rsid w:val="00F32A61"/>
    <w:rsid w:val="00F32AE3"/>
    <w:rsid w:val="00F32B39"/>
    <w:rsid w:val="00F32EB3"/>
    <w:rsid w:val="00F334C2"/>
    <w:rsid w:val="00F334D7"/>
    <w:rsid w:val="00F336BE"/>
    <w:rsid w:val="00F338F4"/>
    <w:rsid w:val="00F33E32"/>
    <w:rsid w:val="00F33F34"/>
    <w:rsid w:val="00F340D4"/>
    <w:rsid w:val="00F34574"/>
    <w:rsid w:val="00F345CC"/>
    <w:rsid w:val="00F3464A"/>
    <w:rsid w:val="00F34B5E"/>
    <w:rsid w:val="00F34BB5"/>
    <w:rsid w:val="00F34D40"/>
    <w:rsid w:val="00F34EA3"/>
    <w:rsid w:val="00F34EFE"/>
    <w:rsid w:val="00F355F9"/>
    <w:rsid w:val="00F358D5"/>
    <w:rsid w:val="00F35B29"/>
    <w:rsid w:val="00F35F34"/>
    <w:rsid w:val="00F36898"/>
    <w:rsid w:val="00F36AFD"/>
    <w:rsid w:val="00F36CBD"/>
    <w:rsid w:val="00F36CD6"/>
    <w:rsid w:val="00F371DE"/>
    <w:rsid w:val="00F3746B"/>
    <w:rsid w:val="00F3754B"/>
    <w:rsid w:val="00F3797F"/>
    <w:rsid w:val="00F37A41"/>
    <w:rsid w:val="00F37B22"/>
    <w:rsid w:val="00F37B79"/>
    <w:rsid w:val="00F37D76"/>
    <w:rsid w:val="00F37E18"/>
    <w:rsid w:val="00F37EE7"/>
    <w:rsid w:val="00F37F7A"/>
    <w:rsid w:val="00F401B7"/>
    <w:rsid w:val="00F40537"/>
    <w:rsid w:val="00F4077B"/>
    <w:rsid w:val="00F40BEF"/>
    <w:rsid w:val="00F4127A"/>
    <w:rsid w:val="00F414FE"/>
    <w:rsid w:val="00F41589"/>
    <w:rsid w:val="00F41D9A"/>
    <w:rsid w:val="00F42217"/>
    <w:rsid w:val="00F422EC"/>
    <w:rsid w:val="00F42319"/>
    <w:rsid w:val="00F426A9"/>
    <w:rsid w:val="00F428DC"/>
    <w:rsid w:val="00F42AD5"/>
    <w:rsid w:val="00F43400"/>
    <w:rsid w:val="00F4345A"/>
    <w:rsid w:val="00F4348D"/>
    <w:rsid w:val="00F43F5A"/>
    <w:rsid w:val="00F44023"/>
    <w:rsid w:val="00F44491"/>
    <w:rsid w:val="00F44700"/>
    <w:rsid w:val="00F44A87"/>
    <w:rsid w:val="00F44D99"/>
    <w:rsid w:val="00F44F6E"/>
    <w:rsid w:val="00F45689"/>
    <w:rsid w:val="00F45DA5"/>
    <w:rsid w:val="00F463A0"/>
    <w:rsid w:val="00F46910"/>
    <w:rsid w:val="00F46A03"/>
    <w:rsid w:val="00F46A92"/>
    <w:rsid w:val="00F47288"/>
    <w:rsid w:val="00F4732B"/>
    <w:rsid w:val="00F47437"/>
    <w:rsid w:val="00F476B8"/>
    <w:rsid w:val="00F47FDC"/>
    <w:rsid w:val="00F50039"/>
    <w:rsid w:val="00F50143"/>
    <w:rsid w:val="00F5015C"/>
    <w:rsid w:val="00F505CF"/>
    <w:rsid w:val="00F505EA"/>
    <w:rsid w:val="00F506B3"/>
    <w:rsid w:val="00F507D6"/>
    <w:rsid w:val="00F50F5B"/>
    <w:rsid w:val="00F510A2"/>
    <w:rsid w:val="00F5120E"/>
    <w:rsid w:val="00F512D9"/>
    <w:rsid w:val="00F51548"/>
    <w:rsid w:val="00F516E8"/>
    <w:rsid w:val="00F51D16"/>
    <w:rsid w:val="00F51F0E"/>
    <w:rsid w:val="00F52DC3"/>
    <w:rsid w:val="00F52FBB"/>
    <w:rsid w:val="00F5328B"/>
    <w:rsid w:val="00F53AB3"/>
    <w:rsid w:val="00F53B51"/>
    <w:rsid w:val="00F53D52"/>
    <w:rsid w:val="00F53E3E"/>
    <w:rsid w:val="00F53EC4"/>
    <w:rsid w:val="00F53F33"/>
    <w:rsid w:val="00F53F50"/>
    <w:rsid w:val="00F53F6E"/>
    <w:rsid w:val="00F54C19"/>
    <w:rsid w:val="00F568D1"/>
    <w:rsid w:val="00F56921"/>
    <w:rsid w:val="00F5692E"/>
    <w:rsid w:val="00F56DD1"/>
    <w:rsid w:val="00F56F10"/>
    <w:rsid w:val="00F570CC"/>
    <w:rsid w:val="00F572C1"/>
    <w:rsid w:val="00F5773E"/>
    <w:rsid w:val="00F579C3"/>
    <w:rsid w:val="00F57A20"/>
    <w:rsid w:val="00F57DA3"/>
    <w:rsid w:val="00F57DF5"/>
    <w:rsid w:val="00F60192"/>
    <w:rsid w:val="00F60385"/>
    <w:rsid w:val="00F6084C"/>
    <w:rsid w:val="00F60F81"/>
    <w:rsid w:val="00F61479"/>
    <w:rsid w:val="00F6162B"/>
    <w:rsid w:val="00F62ADB"/>
    <w:rsid w:val="00F62EE0"/>
    <w:rsid w:val="00F62F6D"/>
    <w:rsid w:val="00F63C35"/>
    <w:rsid w:val="00F6436B"/>
    <w:rsid w:val="00F649D4"/>
    <w:rsid w:val="00F653C6"/>
    <w:rsid w:val="00F65847"/>
    <w:rsid w:val="00F65BEC"/>
    <w:rsid w:val="00F662AE"/>
    <w:rsid w:val="00F664D8"/>
    <w:rsid w:val="00F66A6A"/>
    <w:rsid w:val="00F67092"/>
    <w:rsid w:val="00F67106"/>
    <w:rsid w:val="00F673B4"/>
    <w:rsid w:val="00F70049"/>
    <w:rsid w:val="00F70429"/>
    <w:rsid w:val="00F70464"/>
    <w:rsid w:val="00F707E4"/>
    <w:rsid w:val="00F7088B"/>
    <w:rsid w:val="00F70E33"/>
    <w:rsid w:val="00F712E8"/>
    <w:rsid w:val="00F713A5"/>
    <w:rsid w:val="00F71463"/>
    <w:rsid w:val="00F71D36"/>
    <w:rsid w:val="00F72037"/>
    <w:rsid w:val="00F72111"/>
    <w:rsid w:val="00F722F6"/>
    <w:rsid w:val="00F7260A"/>
    <w:rsid w:val="00F727AC"/>
    <w:rsid w:val="00F72997"/>
    <w:rsid w:val="00F730A8"/>
    <w:rsid w:val="00F73193"/>
    <w:rsid w:val="00F73325"/>
    <w:rsid w:val="00F737C3"/>
    <w:rsid w:val="00F7388C"/>
    <w:rsid w:val="00F73CE1"/>
    <w:rsid w:val="00F74701"/>
    <w:rsid w:val="00F7486B"/>
    <w:rsid w:val="00F7494C"/>
    <w:rsid w:val="00F749CF"/>
    <w:rsid w:val="00F74F4C"/>
    <w:rsid w:val="00F74F86"/>
    <w:rsid w:val="00F7520C"/>
    <w:rsid w:val="00F752A4"/>
    <w:rsid w:val="00F7535C"/>
    <w:rsid w:val="00F753DB"/>
    <w:rsid w:val="00F755E1"/>
    <w:rsid w:val="00F7588F"/>
    <w:rsid w:val="00F759F2"/>
    <w:rsid w:val="00F75C23"/>
    <w:rsid w:val="00F75CC3"/>
    <w:rsid w:val="00F7622E"/>
    <w:rsid w:val="00F7648B"/>
    <w:rsid w:val="00F76526"/>
    <w:rsid w:val="00F76A77"/>
    <w:rsid w:val="00F7718A"/>
    <w:rsid w:val="00F771B5"/>
    <w:rsid w:val="00F77264"/>
    <w:rsid w:val="00F773BD"/>
    <w:rsid w:val="00F77678"/>
    <w:rsid w:val="00F7781C"/>
    <w:rsid w:val="00F7796A"/>
    <w:rsid w:val="00F77C5F"/>
    <w:rsid w:val="00F77D0D"/>
    <w:rsid w:val="00F77EAF"/>
    <w:rsid w:val="00F8011F"/>
    <w:rsid w:val="00F802D9"/>
    <w:rsid w:val="00F80327"/>
    <w:rsid w:val="00F80336"/>
    <w:rsid w:val="00F8064A"/>
    <w:rsid w:val="00F806A7"/>
    <w:rsid w:val="00F806B8"/>
    <w:rsid w:val="00F81068"/>
    <w:rsid w:val="00F816E5"/>
    <w:rsid w:val="00F81A36"/>
    <w:rsid w:val="00F81B33"/>
    <w:rsid w:val="00F81E59"/>
    <w:rsid w:val="00F8200C"/>
    <w:rsid w:val="00F824D0"/>
    <w:rsid w:val="00F8265D"/>
    <w:rsid w:val="00F82A18"/>
    <w:rsid w:val="00F8308A"/>
    <w:rsid w:val="00F8322A"/>
    <w:rsid w:val="00F83330"/>
    <w:rsid w:val="00F835DB"/>
    <w:rsid w:val="00F83A8A"/>
    <w:rsid w:val="00F83ABC"/>
    <w:rsid w:val="00F83B12"/>
    <w:rsid w:val="00F83C5E"/>
    <w:rsid w:val="00F83ED3"/>
    <w:rsid w:val="00F841B7"/>
    <w:rsid w:val="00F84292"/>
    <w:rsid w:val="00F8442F"/>
    <w:rsid w:val="00F8458E"/>
    <w:rsid w:val="00F84A86"/>
    <w:rsid w:val="00F84B15"/>
    <w:rsid w:val="00F850EC"/>
    <w:rsid w:val="00F850F3"/>
    <w:rsid w:val="00F8566A"/>
    <w:rsid w:val="00F856A0"/>
    <w:rsid w:val="00F857B8"/>
    <w:rsid w:val="00F86152"/>
    <w:rsid w:val="00F86166"/>
    <w:rsid w:val="00F865BE"/>
    <w:rsid w:val="00F8667B"/>
    <w:rsid w:val="00F86770"/>
    <w:rsid w:val="00F8702D"/>
    <w:rsid w:val="00F872B6"/>
    <w:rsid w:val="00F875B0"/>
    <w:rsid w:val="00F87CF6"/>
    <w:rsid w:val="00F87FCF"/>
    <w:rsid w:val="00F90680"/>
    <w:rsid w:val="00F9097A"/>
    <w:rsid w:val="00F90F6D"/>
    <w:rsid w:val="00F914D7"/>
    <w:rsid w:val="00F9180A"/>
    <w:rsid w:val="00F919CC"/>
    <w:rsid w:val="00F91BA2"/>
    <w:rsid w:val="00F91FC1"/>
    <w:rsid w:val="00F920A8"/>
    <w:rsid w:val="00F920B0"/>
    <w:rsid w:val="00F92217"/>
    <w:rsid w:val="00F92CC2"/>
    <w:rsid w:val="00F93014"/>
    <w:rsid w:val="00F931A8"/>
    <w:rsid w:val="00F937DE"/>
    <w:rsid w:val="00F938C7"/>
    <w:rsid w:val="00F93B6B"/>
    <w:rsid w:val="00F93C7E"/>
    <w:rsid w:val="00F93F6C"/>
    <w:rsid w:val="00F93F97"/>
    <w:rsid w:val="00F9448C"/>
    <w:rsid w:val="00F944AE"/>
    <w:rsid w:val="00F9466A"/>
    <w:rsid w:val="00F9478F"/>
    <w:rsid w:val="00F947BC"/>
    <w:rsid w:val="00F9497D"/>
    <w:rsid w:val="00F94B11"/>
    <w:rsid w:val="00F9501E"/>
    <w:rsid w:val="00F955E2"/>
    <w:rsid w:val="00F957CF"/>
    <w:rsid w:val="00F95817"/>
    <w:rsid w:val="00F959C4"/>
    <w:rsid w:val="00F95BD2"/>
    <w:rsid w:val="00F960F1"/>
    <w:rsid w:val="00F964CA"/>
    <w:rsid w:val="00F96681"/>
    <w:rsid w:val="00F96FA7"/>
    <w:rsid w:val="00F97587"/>
    <w:rsid w:val="00F97898"/>
    <w:rsid w:val="00F979B0"/>
    <w:rsid w:val="00F97C00"/>
    <w:rsid w:val="00F97CD3"/>
    <w:rsid w:val="00F97F26"/>
    <w:rsid w:val="00FA018F"/>
    <w:rsid w:val="00FA021D"/>
    <w:rsid w:val="00FA0317"/>
    <w:rsid w:val="00FA05FB"/>
    <w:rsid w:val="00FA0DC9"/>
    <w:rsid w:val="00FA104D"/>
    <w:rsid w:val="00FA1ADE"/>
    <w:rsid w:val="00FA1C28"/>
    <w:rsid w:val="00FA2028"/>
    <w:rsid w:val="00FA2501"/>
    <w:rsid w:val="00FA2823"/>
    <w:rsid w:val="00FA2B19"/>
    <w:rsid w:val="00FA2CA9"/>
    <w:rsid w:val="00FA2E03"/>
    <w:rsid w:val="00FA301B"/>
    <w:rsid w:val="00FA3048"/>
    <w:rsid w:val="00FA3266"/>
    <w:rsid w:val="00FA32FD"/>
    <w:rsid w:val="00FA337C"/>
    <w:rsid w:val="00FA39D5"/>
    <w:rsid w:val="00FA3A3F"/>
    <w:rsid w:val="00FA3BC9"/>
    <w:rsid w:val="00FA3D62"/>
    <w:rsid w:val="00FA3E54"/>
    <w:rsid w:val="00FA3F5C"/>
    <w:rsid w:val="00FA4042"/>
    <w:rsid w:val="00FA417A"/>
    <w:rsid w:val="00FA4680"/>
    <w:rsid w:val="00FA46E3"/>
    <w:rsid w:val="00FA47B7"/>
    <w:rsid w:val="00FA52C7"/>
    <w:rsid w:val="00FA52F6"/>
    <w:rsid w:val="00FA569B"/>
    <w:rsid w:val="00FA5887"/>
    <w:rsid w:val="00FA5B59"/>
    <w:rsid w:val="00FA5DD8"/>
    <w:rsid w:val="00FA5DFF"/>
    <w:rsid w:val="00FA5E5E"/>
    <w:rsid w:val="00FA60C0"/>
    <w:rsid w:val="00FA6353"/>
    <w:rsid w:val="00FA6E25"/>
    <w:rsid w:val="00FA6FB5"/>
    <w:rsid w:val="00FA7063"/>
    <w:rsid w:val="00FA74B6"/>
    <w:rsid w:val="00FA79D6"/>
    <w:rsid w:val="00FA7B58"/>
    <w:rsid w:val="00FA7B5D"/>
    <w:rsid w:val="00FA7C01"/>
    <w:rsid w:val="00FA7EA4"/>
    <w:rsid w:val="00FB001F"/>
    <w:rsid w:val="00FB0265"/>
    <w:rsid w:val="00FB029C"/>
    <w:rsid w:val="00FB03D1"/>
    <w:rsid w:val="00FB0602"/>
    <w:rsid w:val="00FB0E6A"/>
    <w:rsid w:val="00FB0E7C"/>
    <w:rsid w:val="00FB0EB9"/>
    <w:rsid w:val="00FB13CE"/>
    <w:rsid w:val="00FB1B2F"/>
    <w:rsid w:val="00FB1CE7"/>
    <w:rsid w:val="00FB1DB4"/>
    <w:rsid w:val="00FB2257"/>
    <w:rsid w:val="00FB2A69"/>
    <w:rsid w:val="00FB2AC8"/>
    <w:rsid w:val="00FB2B3A"/>
    <w:rsid w:val="00FB2E66"/>
    <w:rsid w:val="00FB348F"/>
    <w:rsid w:val="00FB3574"/>
    <w:rsid w:val="00FB358B"/>
    <w:rsid w:val="00FB3619"/>
    <w:rsid w:val="00FB3BBF"/>
    <w:rsid w:val="00FB4363"/>
    <w:rsid w:val="00FB45C5"/>
    <w:rsid w:val="00FB490F"/>
    <w:rsid w:val="00FB49FB"/>
    <w:rsid w:val="00FB4A13"/>
    <w:rsid w:val="00FB4CFF"/>
    <w:rsid w:val="00FB4D0F"/>
    <w:rsid w:val="00FB4DB1"/>
    <w:rsid w:val="00FB52D4"/>
    <w:rsid w:val="00FB589E"/>
    <w:rsid w:val="00FB594B"/>
    <w:rsid w:val="00FB598A"/>
    <w:rsid w:val="00FB5CD0"/>
    <w:rsid w:val="00FB5F14"/>
    <w:rsid w:val="00FB6170"/>
    <w:rsid w:val="00FB6382"/>
    <w:rsid w:val="00FB63D5"/>
    <w:rsid w:val="00FB674D"/>
    <w:rsid w:val="00FB6872"/>
    <w:rsid w:val="00FB6A3D"/>
    <w:rsid w:val="00FB6CFB"/>
    <w:rsid w:val="00FB784F"/>
    <w:rsid w:val="00FB7892"/>
    <w:rsid w:val="00FB796B"/>
    <w:rsid w:val="00FB7CA0"/>
    <w:rsid w:val="00FC0068"/>
    <w:rsid w:val="00FC0133"/>
    <w:rsid w:val="00FC02DD"/>
    <w:rsid w:val="00FC0333"/>
    <w:rsid w:val="00FC0A45"/>
    <w:rsid w:val="00FC0A71"/>
    <w:rsid w:val="00FC0BDC"/>
    <w:rsid w:val="00FC0C7E"/>
    <w:rsid w:val="00FC13DE"/>
    <w:rsid w:val="00FC1B9C"/>
    <w:rsid w:val="00FC1FD1"/>
    <w:rsid w:val="00FC2626"/>
    <w:rsid w:val="00FC272E"/>
    <w:rsid w:val="00FC28C6"/>
    <w:rsid w:val="00FC37D8"/>
    <w:rsid w:val="00FC4377"/>
    <w:rsid w:val="00FC4467"/>
    <w:rsid w:val="00FC492D"/>
    <w:rsid w:val="00FC4C94"/>
    <w:rsid w:val="00FC4CBE"/>
    <w:rsid w:val="00FC52B7"/>
    <w:rsid w:val="00FC553E"/>
    <w:rsid w:val="00FC5BE8"/>
    <w:rsid w:val="00FC5CF4"/>
    <w:rsid w:val="00FC6134"/>
    <w:rsid w:val="00FC6314"/>
    <w:rsid w:val="00FC653B"/>
    <w:rsid w:val="00FC69C8"/>
    <w:rsid w:val="00FC6C6A"/>
    <w:rsid w:val="00FC71D9"/>
    <w:rsid w:val="00FC7691"/>
    <w:rsid w:val="00FC783A"/>
    <w:rsid w:val="00FC7AC2"/>
    <w:rsid w:val="00FC7C2B"/>
    <w:rsid w:val="00FC7C94"/>
    <w:rsid w:val="00FC7E46"/>
    <w:rsid w:val="00FD02B9"/>
    <w:rsid w:val="00FD06A8"/>
    <w:rsid w:val="00FD13B5"/>
    <w:rsid w:val="00FD1782"/>
    <w:rsid w:val="00FD19B0"/>
    <w:rsid w:val="00FD1C2D"/>
    <w:rsid w:val="00FD1D48"/>
    <w:rsid w:val="00FD1FC4"/>
    <w:rsid w:val="00FD208A"/>
    <w:rsid w:val="00FD2A90"/>
    <w:rsid w:val="00FD32B8"/>
    <w:rsid w:val="00FD32CF"/>
    <w:rsid w:val="00FD3456"/>
    <w:rsid w:val="00FD3634"/>
    <w:rsid w:val="00FD37D9"/>
    <w:rsid w:val="00FD3886"/>
    <w:rsid w:val="00FD3B39"/>
    <w:rsid w:val="00FD3F52"/>
    <w:rsid w:val="00FD4124"/>
    <w:rsid w:val="00FD4BEB"/>
    <w:rsid w:val="00FD4FCB"/>
    <w:rsid w:val="00FD541E"/>
    <w:rsid w:val="00FD57C4"/>
    <w:rsid w:val="00FD57E6"/>
    <w:rsid w:val="00FD5BB5"/>
    <w:rsid w:val="00FD5E8E"/>
    <w:rsid w:val="00FD5FA3"/>
    <w:rsid w:val="00FD6129"/>
    <w:rsid w:val="00FD61C7"/>
    <w:rsid w:val="00FD6A7F"/>
    <w:rsid w:val="00FD6C90"/>
    <w:rsid w:val="00FD6CD0"/>
    <w:rsid w:val="00FD6DF3"/>
    <w:rsid w:val="00FD6F97"/>
    <w:rsid w:val="00FD72D8"/>
    <w:rsid w:val="00FD787E"/>
    <w:rsid w:val="00FD7992"/>
    <w:rsid w:val="00FE005B"/>
    <w:rsid w:val="00FE026B"/>
    <w:rsid w:val="00FE0302"/>
    <w:rsid w:val="00FE0E05"/>
    <w:rsid w:val="00FE0EF2"/>
    <w:rsid w:val="00FE138E"/>
    <w:rsid w:val="00FE14C0"/>
    <w:rsid w:val="00FE1CAB"/>
    <w:rsid w:val="00FE2100"/>
    <w:rsid w:val="00FE2351"/>
    <w:rsid w:val="00FE2E59"/>
    <w:rsid w:val="00FE3207"/>
    <w:rsid w:val="00FE343D"/>
    <w:rsid w:val="00FE3462"/>
    <w:rsid w:val="00FE378A"/>
    <w:rsid w:val="00FE3C18"/>
    <w:rsid w:val="00FE4023"/>
    <w:rsid w:val="00FE43F0"/>
    <w:rsid w:val="00FE458E"/>
    <w:rsid w:val="00FE471F"/>
    <w:rsid w:val="00FE4771"/>
    <w:rsid w:val="00FE4AD2"/>
    <w:rsid w:val="00FE524C"/>
    <w:rsid w:val="00FE55A3"/>
    <w:rsid w:val="00FE589B"/>
    <w:rsid w:val="00FE598B"/>
    <w:rsid w:val="00FE5CDC"/>
    <w:rsid w:val="00FE60F0"/>
    <w:rsid w:val="00FE631B"/>
    <w:rsid w:val="00FE639A"/>
    <w:rsid w:val="00FE6575"/>
    <w:rsid w:val="00FE6717"/>
    <w:rsid w:val="00FE6A4A"/>
    <w:rsid w:val="00FE7296"/>
    <w:rsid w:val="00FE77AA"/>
    <w:rsid w:val="00FE79AE"/>
    <w:rsid w:val="00FE7C75"/>
    <w:rsid w:val="00FE7EA8"/>
    <w:rsid w:val="00FF0827"/>
    <w:rsid w:val="00FF0B3D"/>
    <w:rsid w:val="00FF151A"/>
    <w:rsid w:val="00FF15BB"/>
    <w:rsid w:val="00FF169E"/>
    <w:rsid w:val="00FF1829"/>
    <w:rsid w:val="00FF19DE"/>
    <w:rsid w:val="00FF210C"/>
    <w:rsid w:val="00FF215D"/>
    <w:rsid w:val="00FF2CA8"/>
    <w:rsid w:val="00FF322F"/>
    <w:rsid w:val="00FF3686"/>
    <w:rsid w:val="00FF3C3E"/>
    <w:rsid w:val="00FF3EA7"/>
    <w:rsid w:val="00FF4208"/>
    <w:rsid w:val="00FF456D"/>
    <w:rsid w:val="00FF48AE"/>
    <w:rsid w:val="00FF4C13"/>
    <w:rsid w:val="00FF4C40"/>
    <w:rsid w:val="00FF544F"/>
    <w:rsid w:val="00FF595B"/>
    <w:rsid w:val="00FF5BF0"/>
    <w:rsid w:val="00FF5FC7"/>
    <w:rsid w:val="00FF622D"/>
    <w:rsid w:val="00FF6475"/>
    <w:rsid w:val="00FF6F03"/>
    <w:rsid w:val="00FF7174"/>
    <w:rsid w:val="00FF724A"/>
    <w:rsid w:val="00FF7837"/>
    <w:rsid w:val="00FF7867"/>
    <w:rsid w:val="00FF789F"/>
    <w:rsid w:val="00FF7A3E"/>
    <w:rsid w:val="00FF7ACF"/>
    <w:rsid w:val="00FF7B18"/>
    <w:rsid w:val="00FF7C71"/>
    <w:rsid w:val="00FF7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3"/>
      </w:numPr>
      <w:outlineLvl w:val="0"/>
    </w:pPr>
    <w:rPr>
      <w:b/>
    </w:rPr>
  </w:style>
  <w:style w:type="paragraph" w:styleId="Heading2">
    <w:name w:val="heading 2"/>
    <w:basedOn w:val="Normal"/>
    <w:next w:val="Normal"/>
    <w:qFormat/>
    <w:pPr>
      <w:keepNext/>
      <w:spacing w:line="480" w:lineRule="auto"/>
      <w:ind w:left="720"/>
      <w:outlineLvl w:val="1"/>
    </w:pPr>
    <w:rPr>
      <w:b/>
      <w:sz w:val="24"/>
    </w:rPr>
  </w:style>
  <w:style w:type="paragraph" w:styleId="Heading3">
    <w:name w:val="heading 3"/>
    <w:basedOn w:val="Normal"/>
    <w:next w:val="Normal"/>
    <w:qFormat/>
    <w:pPr>
      <w:keepNext/>
      <w:numPr>
        <w:numId w:val="1"/>
      </w:numPr>
      <w:spacing w:line="480" w:lineRule="auto"/>
      <w:outlineLvl w:val="2"/>
    </w:pPr>
    <w:rPr>
      <w:b/>
      <w:sz w:val="24"/>
    </w:rPr>
  </w:style>
  <w:style w:type="paragraph" w:styleId="Heading4">
    <w:name w:val="heading 4"/>
    <w:basedOn w:val="Normal"/>
    <w:next w:val="Normal"/>
    <w:qFormat/>
    <w:pPr>
      <w:keepNext/>
      <w:numPr>
        <w:numId w:val="2"/>
      </w:numPr>
      <w:spacing w:line="480" w:lineRule="auto"/>
      <w:outlineLvl w:val="3"/>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ind w:left="-53" w:right="-107"/>
      <w:outlineLvl w:val="5"/>
    </w:pPr>
    <w:rPr>
      <w:rFonts w:ascii="Arial" w:hAnsi="Arial"/>
      <w:b/>
      <w:sz w:val="24"/>
    </w:rPr>
  </w:style>
  <w:style w:type="paragraph" w:styleId="Heading7">
    <w:name w:val="heading 7"/>
    <w:basedOn w:val="Normal"/>
    <w:next w:val="Normal"/>
    <w:qFormat/>
    <w:pPr>
      <w:keepNext/>
      <w:ind w:left="-117" w:right="-107" w:firstLine="81"/>
      <w:outlineLvl w:val="6"/>
    </w:pPr>
    <w:rPr>
      <w:rFonts w:ascii="Arial" w:hAnsi="Arial"/>
      <w:b/>
      <w:sz w:val="24"/>
    </w:rPr>
  </w:style>
  <w:style w:type="paragraph" w:styleId="Heading8">
    <w:name w:val="heading 8"/>
    <w:basedOn w:val="Normal"/>
    <w:next w:val="Normal"/>
    <w:qFormat/>
    <w:pPr>
      <w:keepNext/>
      <w:outlineLvl w:val="7"/>
    </w:pPr>
    <w:rPr>
      <w:sz w:val="24"/>
    </w:rPr>
  </w:style>
  <w:style w:type="paragraph" w:styleId="Heading9">
    <w:name w:val="heading 9"/>
    <w:basedOn w:val="Normal"/>
    <w:next w:val="Normal"/>
    <w:qFormat/>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Title">
    <w:name w:val="Title"/>
    <w:basedOn w:val="Normal"/>
    <w:qFormat/>
    <w:pPr>
      <w:spacing w:line="480" w:lineRule="atLeast"/>
      <w:ind w:left="720" w:hanging="720"/>
      <w:jc w:val="center"/>
    </w:pPr>
    <w:rPr>
      <w:rFonts w:ascii="Arial" w:hAnsi="Arial"/>
      <w:b/>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spacing w:line="480" w:lineRule="auto"/>
      <w:ind w:left="720" w:hanging="720"/>
    </w:pPr>
    <w:rPr>
      <w:sz w:val="24"/>
    </w:rPr>
  </w:style>
  <w:style w:type="paragraph" w:styleId="BodyText">
    <w:name w:val="Body Text"/>
    <w:basedOn w:val="Normal"/>
    <w:pPr>
      <w:spacing w:line="480" w:lineRule="auto"/>
    </w:pPr>
    <w:rPr>
      <w:b/>
      <w:sz w:val="24"/>
    </w:rPr>
  </w:style>
  <w:style w:type="paragraph" w:styleId="FootnoteText">
    <w:name w:val="footnote text"/>
    <w:basedOn w:val="Normal"/>
    <w:link w:val="FootnoteTextChar"/>
    <w:uiPriority w:val="99"/>
    <w:semiHidden/>
  </w:style>
  <w:style w:type="character" w:styleId="FootnoteReference">
    <w:name w:val="footnote reference"/>
    <w:uiPriority w:val="99"/>
    <w:rPr>
      <w:vertAlign w:val="superscript"/>
    </w:rPr>
  </w:style>
  <w:style w:type="character" w:styleId="LineNumber">
    <w:name w:val="lin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Indent3">
    <w:name w:val="Body Text Indent 3"/>
    <w:basedOn w:val="Normal"/>
    <w:pPr>
      <w:spacing w:line="480" w:lineRule="auto"/>
      <w:ind w:left="720"/>
    </w:pPr>
    <w:rPr>
      <w:sz w:val="24"/>
    </w:rPr>
  </w:style>
  <w:style w:type="character" w:styleId="Hyperlink">
    <w:name w:val="Hyperlink"/>
    <w:uiPriority w:val="99"/>
    <w:rPr>
      <w:color w:val="0000FF"/>
      <w:u w:val="single"/>
    </w:rPr>
  </w:style>
  <w:style w:type="paragraph" w:styleId="BlockText">
    <w:name w:val="Block Text"/>
    <w:basedOn w:val="Normal"/>
    <w:pPr>
      <w:ind w:left="1440" w:right="720"/>
    </w:pPr>
    <w:rPr>
      <w:sz w:val="24"/>
    </w:rPr>
  </w:style>
  <w:style w:type="paragraph" w:customStyle="1" w:styleId="Q">
    <w:name w:val="Q"/>
    <w:basedOn w:val="Normal"/>
    <w:pPr>
      <w:keepNext/>
      <w:spacing w:before="240" w:line="480" w:lineRule="atLeast"/>
      <w:ind w:left="720" w:hanging="720"/>
      <w:jc w:val="both"/>
    </w:pPr>
    <w:rPr>
      <w:sz w:val="24"/>
    </w:rPr>
  </w:style>
  <w:style w:type="paragraph" w:styleId="BodyText2">
    <w:name w:val="Body Text 2"/>
    <w:basedOn w:val="Normal"/>
    <w:rPr>
      <w:sz w:val="24"/>
    </w:rPr>
  </w:style>
  <w:style w:type="paragraph" w:styleId="BodyText3">
    <w:name w:val="Body Text 3"/>
    <w:basedOn w:val="Normal"/>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rsid w:val="00262EF6"/>
    <w:pPr>
      <w:suppressLineNumbers/>
      <w:tabs>
        <w:tab w:val="left" w:pos="810"/>
        <w:tab w:val="right" w:leader="dot" w:pos="8630"/>
      </w:tabs>
    </w:pPr>
  </w:style>
  <w:style w:type="character" w:styleId="EndnoteReference">
    <w:name w:val="endnote reference"/>
    <w:semiHidden/>
    <w:rsid w:val="00420CAE"/>
    <w:rPr>
      <w:vertAlign w:val="superscript"/>
    </w:rPr>
  </w:style>
  <w:style w:type="paragraph" w:styleId="TOCHeading">
    <w:name w:val="TOC Heading"/>
    <w:basedOn w:val="Heading1"/>
    <w:next w:val="Normal"/>
    <w:uiPriority w:val="39"/>
    <w:semiHidden/>
    <w:unhideWhenUsed/>
    <w:qFormat/>
    <w:rsid w:val="001A3441"/>
    <w:pPr>
      <w:keepLines/>
      <w:numPr>
        <w:numId w:val="0"/>
      </w:numPr>
      <w:spacing w:before="480" w:line="276" w:lineRule="auto"/>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B360C"/>
    <w:pPr>
      <w:tabs>
        <w:tab w:val="left" w:pos="1100"/>
        <w:tab w:val="right" w:leader="dot" w:pos="8630"/>
      </w:tabs>
    </w:pPr>
  </w:style>
  <w:style w:type="table" w:styleId="TableGrid">
    <w:name w:val="Table Grid"/>
    <w:basedOn w:val="TableNormal"/>
    <w:uiPriority w:val="39"/>
    <w:rsid w:val="00C57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7C4C52"/>
    <w:pPr>
      <w:ind w:left="200"/>
    </w:pPr>
  </w:style>
  <w:style w:type="character" w:customStyle="1" w:styleId="FootnoteTextChar">
    <w:name w:val="Footnote Text Char"/>
    <w:link w:val="FootnoteText"/>
    <w:uiPriority w:val="99"/>
    <w:semiHidden/>
    <w:rsid w:val="009F5D58"/>
  </w:style>
  <w:style w:type="paragraph" w:styleId="ListParagraph">
    <w:name w:val="List Paragraph"/>
    <w:basedOn w:val="Normal"/>
    <w:uiPriority w:val="34"/>
    <w:qFormat/>
    <w:rsid w:val="007008F4"/>
    <w:pPr>
      <w:spacing w:after="200" w:line="276" w:lineRule="auto"/>
      <w:ind w:left="720"/>
      <w:contextualSpacing/>
    </w:pPr>
    <w:rPr>
      <w:rFonts w:ascii="Calibri" w:eastAsia="Calibri" w:hAnsi="Calibri"/>
      <w:sz w:val="22"/>
      <w:szCs w:val="22"/>
    </w:rPr>
  </w:style>
  <w:style w:type="character" w:styleId="Emphasis">
    <w:name w:val="Emphasis"/>
    <w:qFormat/>
    <w:rsid w:val="00883739"/>
    <w:rPr>
      <w:i/>
      <w:iCs/>
    </w:rPr>
  </w:style>
  <w:style w:type="character" w:styleId="CommentReference">
    <w:name w:val="annotation reference"/>
    <w:rsid w:val="00DE6D41"/>
    <w:rPr>
      <w:sz w:val="16"/>
      <w:szCs w:val="16"/>
    </w:rPr>
  </w:style>
  <w:style w:type="paragraph" w:styleId="CommentText">
    <w:name w:val="annotation text"/>
    <w:basedOn w:val="Normal"/>
    <w:link w:val="CommentTextChar"/>
    <w:rsid w:val="00DE6D41"/>
  </w:style>
  <w:style w:type="character" w:customStyle="1" w:styleId="CommentTextChar">
    <w:name w:val="Comment Text Char"/>
    <w:basedOn w:val="DefaultParagraphFont"/>
    <w:link w:val="CommentText"/>
    <w:rsid w:val="00DE6D41"/>
  </w:style>
  <w:style w:type="paragraph" w:styleId="CommentSubject">
    <w:name w:val="annotation subject"/>
    <w:basedOn w:val="CommentText"/>
    <w:next w:val="CommentText"/>
    <w:link w:val="CommentSubjectChar"/>
    <w:rsid w:val="00DE6D41"/>
    <w:rPr>
      <w:b/>
      <w:bCs/>
    </w:rPr>
  </w:style>
  <w:style w:type="character" w:customStyle="1" w:styleId="CommentSubjectChar">
    <w:name w:val="Comment Subject Char"/>
    <w:link w:val="CommentSubject"/>
    <w:rsid w:val="00DE6D41"/>
    <w:rPr>
      <w:b/>
      <w:bCs/>
    </w:rPr>
  </w:style>
  <w:style w:type="paragraph" w:styleId="Revision">
    <w:name w:val="Revision"/>
    <w:hidden/>
    <w:uiPriority w:val="99"/>
    <w:semiHidden/>
    <w:rsid w:val="00C43F5A"/>
  </w:style>
  <w:style w:type="paragraph" w:styleId="PlainText">
    <w:name w:val="Plain Text"/>
    <w:basedOn w:val="Normal"/>
    <w:link w:val="PlainTextChar"/>
    <w:rsid w:val="001366F9"/>
    <w:rPr>
      <w:rFonts w:ascii="Courier New" w:hAnsi="Courier New"/>
    </w:rPr>
  </w:style>
  <w:style w:type="character" w:customStyle="1" w:styleId="PlainTextChar">
    <w:name w:val="Plain Text Char"/>
    <w:link w:val="PlainText"/>
    <w:rsid w:val="001366F9"/>
    <w:rPr>
      <w:rFonts w:ascii="Courier New" w:hAnsi="Courier New"/>
    </w:rPr>
  </w:style>
  <w:style w:type="paragraph" w:customStyle="1" w:styleId="Answer">
    <w:name w:val="Answer"/>
    <w:basedOn w:val="Normal"/>
    <w:next w:val="Normal"/>
    <w:rsid w:val="001366F9"/>
    <w:pPr>
      <w:numPr>
        <w:numId w:val="4"/>
      </w:numPr>
      <w:spacing w:after="120" w:line="360" w:lineRule="auto"/>
      <w:jc w:val="both"/>
    </w:pPr>
    <w:rPr>
      <w:rFonts w:ascii="Arial" w:hAnsi="Arial"/>
      <w:sz w:val="22"/>
    </w:rPr>
  </w:style>
  <w:style w:type="character" w:customStyle="1" w:styleId="HeaderChar">
    <w:name w:val="Header Char"/>
    <w:link w:val="Header"/>
    <w:uiPriority w:val="99"/>
    <w:rsid w:val="00AA4E56"/>
  </w:style>
  <w:style w:type="character" w:customStyle="1" w:styleId="FooterChar">
    <w:name w:val="Footer Char"/>
    <w:basedOn w:val="DefaultParagraphFont"/>
    <w:link w:val="Footer"/>
    <w:uiPriority w:val="99"/>
    <w:rsid w:val="00A712D2"/>
  </w:style>
  <w:style w:type="paragraph" w:customStyle="1" w:styleId="para1">
    <w:name w:val="para1"/>
    <w:basedOn w:val="Normal"/>
    <w:rsid w:val="009017AA"/>
    <w:pPr>
      <w:overflowPunct w:val="0"/>
      <w:autoSpaceDE w:val="0"/>
      <w:autoSpaceDN w:val="0"/>
      <w:adjustRightInd w:val="0"/>
      <w:spacing w:after="120" w:line="360" w:lineRule="auto"/>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052">
      <w:bodyDiv w:val="1"/>
      <w:marLeft w:val="0"/>
      <w:marRight w:val="0"/>
      <w:marTop w:val="0"/>
      <w:marBottom w:val="0"/>
      <w:divBdr>
        <w:top w:val="none" w:sz="0" w:space="0" w:color="auto"/>
        <w:left w:val="none" w:sz="0" w:space="0" w:color="auto"/>
        <w:bottom w:val="none" w:sz="0" w:space="0" w:color="auto"/>
        <w:right w:val="none" w:sz="0" w:space="0" w:color="auto"/>
      </w:divBdr>
    </w:div>
    <w:div w:id="142700387">
      <w:bodyDiv w:val="1"/>
      <w:marLeft w:val="0"/>
      <w:marRight w:val="0"/>
      <w:marTop w:val="0"/>
      <w:marBottom w:val="0"/>
      <w:divBdr>
        <w:top w:val="none" w:sz="0" w:space="0" w:color="auto"/>
        <w:left w:val="none" w:sz="0" w:space="0" w:color="auto"/>
        <w:bottom w:val="none" w:sz="0" w:space="0" w:color="auto"/>
        <w:right w:val="none" w:sz="0" w:space="0" w:color="auto"/>
      </w:divBdr>
    </w:div>
    <w:div w:id="261375873">
      <w:bodyDiv w:val="1"/>
      <w:marLeft w:val="0"/>
      <w:marRight w:val="0"/>
      <w:marTop w:val="0"/>
      <w:marBottom w:val="0"/>
      <w:divBdr>
        <w:top w:val="none" w:sz="0" w:space="0" w:color="auto"/>
        <w:left w:val="none" w:sz="0" w:space="0" w:color="auto"/>
        <w:bottom w:val="none" w:sz="0" w:space="0" w:color="auto"/>
        <w:right w:val="none" w:sz="0" w:space="0" w:color="auto"/>
      </w:divBdr>
    </w:div>
    <w:div w:id="418521468">
      <w:bodyDiv w:val="1"/>
      <w:marLeft w:val="0"/>
      <w:marRight w:val="0"/>
      <w:marTop w:val="0"/>
      <w:marBottom w:val="0"/>
      <w:divBdr>
        <w:top w:val="none" w:sz="0" w:space="0" w:color="auto"/>
        <w:left w:val="none" w:sz="0" w:space="0" w:color="auto"/>
        <w:bottom w:val="none" w:sz="0" w:space="0" w:color="auto"/>
        <w:right w:val="none" w:sz="0" w:space="0" w:color="auto"/>
      </w:divBdr>
    </w:div>
    <w:div w:id="427965045">
      <w:bodyDiv w:val="1"/>
      <w:marLeft w:val="0"/>
      <w:marRight w:val="0"/>
      <w:marTop w:val="0"/>
      <w:marBottom w:val="0"/>
      <w:divBdr>
        <w:top w:val="none" w:sz="0" w:space="0" w:color="auto"/>
        <w:left w:val="none" w:sz="0" w:space="0" w:color="auto"/>
        <w:bottom w:val="none" w:sz="0" w:space="0" w:color="auto"/>
        <w:right w:val="none" w:sz="0" w:space="0" w:color="auto"/>
      </w:divBdr>
    </w:div>
    <w:div w:id="785932234">
      <w:bodyDiv w:val="1"/>
      <w:marLeft w:val="0"/>
      <w:marRight w:val="0"/>
      <w:marTop w:val="0"/>
      <w:marBottom w:val="0"/>
      <w:divBdr>
        <w:top w:val="none" w:sz="0" w:space="0" w:color="auto"/>
        <w:left w:val="none" w:sz="0" w:space="0" w:color="auto"/>
        <w:bottom w:val="none" w:sz="0" w:space="0" w:color="auto"/>
        <w:right w:val="none" w:sz="0" w:space="0" w:color="auto"/>
      </w:divBdr>
    </w:div>
    <w:div w:id="812261871">
      <w:bodyDiv w:val="1"/>
      <w:marLeft w:val="0"/>
      <w:marRight w:val="0"/>
      <w:marTop w:val="0"/>
      <w:marBottom w:val="0"/>
      <w:divBdr>
        <w:top w:val="none" w:sz="0" w:space="0" w:color="auto"/>
        <w:left w:val="none" w:sz="0" w:space="0" w:color="auto"/>
        <w:bottom w:val="none" w:sz="0" w:space="0" w:color="auto"/>
        <w:right w:val="none" w:sz="0" w:space="0" w:color="auto"/>
      </w:divBdr>
    </w:div>
    <w:div w:id="869151857">
      <w:bodyDiv w:val="1"/>
      <w:marLeft w:val="0"/>
      <w:marRight w:val="0"/>
      <w:marTop w:val="0"/>
      <w:marBottom w:val="0"/>
      <w:divBdr>
        <w:top w:val="none" w:sz="0" w:space="0" w:color="auto"/>
        <w:left w:val="none" w:sz="0" w:space="0" w:color="auto"/>
        <w:bottom w:val="none" w:sz="0" w:space="0" w:color="auto"/>
        <w:right w:val="none" w:sz="0" w:space="0" w:color="auto"/>
      </w:divBdr>
    </w:div>
    <w:div w:id="1274165645">
      <w:bodyDiv w:val="1"/>
      <w:marLeft w:val="0"/>
      <w:marRight w:val="0"/>
      <w:marTop w:val="0"/>
      <w:marBottom w:val="0"/>
      <w:divBdr>
        <w:top w:val="none" w:sz="0" w:space="0" w:color="auto"/>
        <w:left w:val="none" w:sz="0" w:space="0" w:color="auto"/>
        <w:bottom w:val="none" w:sz="0" w:space="0" w:color="auto"/>
        <w:right w:val="none" w:sz="0" w:space="0" w:color="auto"/>
      </w:divBdr>
    </w:div>
    <w:div w:id="1367636102">
      <w:bodyDiv w:val="1"/>
      <w:marLeft w:val="0"/>
      <w:marRight w:val="0"/>
      <w:marTop w:val="0"/>
      <w:marBottom w:val="0"/>
      <w:divBdr>
        <w:top w:val="none" w:sz="0" w:space="0" w:color="auto"/>
        <w:left w:val="none" w:sz="0" w:space="0" w:color="auto"/>
        <w:bottom w:val="none" w:sz="0" w:space="0" w:color="auto"/>
        <w:right w:val="none" w:sz="0" w:space="0" w:color="auto"/>
      </w:divBdr>
    </w:div>
    <w:div w:id="1772318044">
      <w:bodyDiv w:val="1"/>
      <w:marLeft w:val="0"/>
      <w:marRight w:val="0"/>
      <w:marTop w:val="0"/>
      <w:marBottom w:val="0"/>
      <w:divBdr>
        <w:top w:val="none" w:sz="0" w:space="0" w:color="auto"/>
        <w:left w:val="none" w:sz="0" w:space="0" w:color="auto"/>
        <w:bottom w:val="none" w:sz="0" w:space="0" w:color="auto"/>
        <w:right w:val="none" w:sz="0" w:space="0" w:color="auto"/>
      </w:divBdr>
    </w:div>
    <w:div w:id="1875727666">
      <w:bodyDiv w:val="1"/>
      <w:marLeft w:val="0"/>
      <w:marRight w:val="0"/>
      <w:marTop w:val="0"/>
      <w:marBottom w:val="0"/>
      <w:divBdr>
        <w:top w:val="none" w:sz="0" w:space="0" w:color="auto"/>
        <w:left w:val="none" w:sz="0" w:space="0" w:color="auto"/>
        <w:bottom w:val="none" w:sz="0" w:space="0" w:color="auto"/>
        <w:right w:val="none" w:sz="0" w:space="0" w:color="auto"/>
      </w:divBdr>
    </w:div>
    <w:div w:id="1922443568">
      <w:bodyDiv w:val="1"/>
      <w:marLeft w:val="0"/>
      <w:marRight w:val="0"/>
      <w:marTop w:val="0"/>
      <w:marBottom w:val="0"/>
      <w:divBdr>
        <w:top w:val="none" w:sz="0" w:space="0" w:color="auto"/>
        <w:left w:val="none" w:sz="0" w:space="0" w:color="auto"/>
        <w:bottom w:val="none" w:sz="0" w:space="0" w:color="auto"/>
        <w:right w:val="none" w:sz="0" w:space="0" w:color="auto"/>
      </w:divBdr>
    </w:div>
    <w:div w:id="197501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emf"/><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5D071-C65A-431A-8CB1-1B9239D1E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14950</Words>
  <Characters>84139</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98892</CharactersWithSpaces>
  <SharedDoc>false</SharedDoc>
  <HLinks>
    <vt:vector size="30" baseType="variant">
      <vt:variant>
        <vt:i4>1245240</vt:i4>
      </vt:variant>
      <vt:variant>
        <vt:i4>29</vt:i4>
      </vt:variant>
      <vt:variant>
        <vt:i4>0</vt:i4>
      </vt:variant>
      <vt:variant>
        <vt:i4>5</vt:i4>
      </vt:variant>
      <vt:variant>
        <vt:lpwstr/>
      </vt:variant>
      <vt:variant>
        <vt:lpwstr>_Toc468713569</vt:lpwstr>
      </vt:variant>
      <vt:variant>
        <vt:i4>1245240</vt:i4>
      </vt:variant>
      <vt:variant>
        <vt:i4>23</vt:i4>
      </vt:variant>
      <vt:variant>
        <vt:i4>0</vt:i4>
      </vt:variant>
      <vt:variant>
        <vt:i4>5</vt:i4>
      </vt:variant>
      <vt:variant>
        <vt:lpwstr/>
      </vt:variant>
      <vt:variant>
        <vt:lpwstr>_Toc468713568</vt:lpwstr>
      </vt:variant>
      <vt:variant>
        <vt:i4>1245240</vt:i4>
      </vt:variant>
      <vt:variant>
        <vt:i4>17</vt:i4>
      </vt:variant>
      <vt:variant>
        <vt:i4>0</vt:i4>
      </vt:variant>
      <vt:variant>
        <vt:i4>5</vt:i4>
      </vt:variant>
      <vt:variant>
        <vt:lpwstr/>
      </vt:variant>
      <vt:variant>
        <vt:lpwstr>_Toc468713567</vt:lpwstr>
      </vt:variant>
      <vt:variant>
        <vt:i4>1245240</vt:i4>
      </vt:variant>
      <vt:variant>
        <vt:i4>11</vt:i4>
      </vt:variant>
      <vt:variant>
        <vt:i4>0</vt:i4>
      </vt:variant>
      <vt:variant>
        <vt:i4>5</vt:i4>
      </vt:variant>
      <vt:variant>
        <vt:lpwstr/>
      </vt:variant>
      <vt:variant>
        <vt:lpwstr>_Toc468713566</vt:lpwstr>
      </vt:variant>
      <vt:variant>
        <vt:i4>1245240</vt:i4>
      </vt:variant>
      <vt:variant>
        <vt:i4>5</vt:i4>
      </vt:variant>
      <vt:variant>
        <vt:i4>0</vt:i4>
      </vt:variant>
      <vt:variant>
        <vt:i4>5</vt:i4>
      </vt:variant>
      <vt:variant>
        <vt:lpwstr/>
      </vt:variant>
      <vt:variant>
        <vt:lpwstr>_Toc468713565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2019-06-12T15:19:00Z</dcterms:created>
  <dcterms:modified xsi:type="dcterms:W3CDTF">2019-06-12T15:27:00Z</dcterms:modified>
  <cp:category/>
</cp:coreProperties>
</file>